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D0B42">
      <w:pPr>
        <w:spacing w:after="0" w:line="240" w:lineRule="auto"/>
        <w:jc w:val="center"/>
        <w:rPr>
          <w:rFonts w:ascii="Times New Roman" w:hAnsi="Times New Roman" w:cs="Times New Roman"/>
          <w:b/>
          <w:sz w:val="24"/>
          <w:szCs w:val="24"/>
          <w:lang w:eastAsia="ar-SA"/>
        </w:rPr>
      </w:pPr>
    </w:p>
    <w:p w14:paraId="35591D57">
      <w:pPr>
        <w:spacing w:after="0" w:line="240" w:lineRule="auto"/>
        <w:jc w:val="center"/>
        <w:rPr>
          <w:rFonts w:ascii="Times New Roman" w:hAnsi="Times New Roman" w:cs="Times New Roman"/>
          <w:b/>
          <w:sz w:val="24"/>
          <w:szCs w:val="24"/>
          <w:lang w:eastAsia="ar-SA"/>
        </w:rPr>
      </w:pPr>
    </w:p>
    <w:p w14:paraId="70E8BB6A">
      <w:pPr>
        <w:jc w:val="center"/>
      </w:pPr>
      <w:bookmarkStart w:id="2" w:name="_GoBack"/>
      <w:r>
        <w:rPr>
          <w:rFonts w:ascii="Arial" w:hAnsi="Arial"/>
          <w:b/>
          <w:lang w:eastAsia="ar-SA"/>
        </w:rPr>
        <w:t>TERMO DE REFERÊNCIA</w:t>
      </w:r>
    </w:p>
    <w:bookmarkEnd w:id="2"/>
    <w:p w14:paraId="256DB5A0">
      <w:pPr>
        <w:jc w:val="center"/>
      </w:pPr>
      <w:r>
        <w:rPr>
          <w:rFonts w:ascii="Arial" w:hAnsi="Arial"/>
          <w:lang w:eastAsia="ar-SA"/>
        </w:rPr>
        <w:t>Lei nº 14.133, de 1º de abril de 2021</w:t>
      </w:r>
    </w:p>
    <w:p w14:paraId="03485696">
      <w:pPr>
        <w:spacing w:after="288" w:line="312" w:lineRule="auto"/>
        <w:rPr>
          <w:rFonts w:ascii="Arial" w:hAnsi="Arial"/>
          <w:b/>
          <w:sz w:val="10"/>
          <w:szCs w:val="10"/>
          <w:u w:val="single"/>
          <w:lang w:eastAsia="ar-SA"/>
        </w:rPr>
      </w:pPr>
    </w:p>
    <w:tbl>
      <w:tblPr>
        <w:tblStyle w:val="5"/>
        <w:tblW w:w="10065" w:type="dxa"/>
        <w:tblInd w:w="70" w:type="dxa"/>
        <w:tblLayout w:type="fixed"/>
        <w:tblCellMar>
          <w:top w:w="0" w:type="dxa"/>
          <w:left w:w="70" w:type="dxa"/>
          <w:bottom w:w="0" w:type="dxa"/>
          <w:right w:w="70" w:type="dxa"/>
        </w:tblCellMar>
      </w:tblPr>
      <w:tblGrid>
        <w:gridCol w:w="10065"/>
      </w:tblGrid>
      <w:tr w14:paraId="4B87EC60">
        <w:tblPrEx>
          <w:tblCellMar>
            <w:top w:w="0" w:type="dxa"/>
            <w:left w:w="70" w:type="dxa"/>
            <w:bottom w:w="0" w:type="dxa"/>
            <w:right w:w="70" w:type="dxa"/>
          </w:tblCellMar>
        </w:tblPrEx>
        <w:trPr>
          <w:trHeight w:val="307" w:hRule="atLeast"/>
        </w:trPr>
        <w:tc>
          <w:tcPr>
            <w:tcW w:w="10065"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8704345">
            <w:pPr>
              <w:pStyle w:val="26"/>
              <w:rPr>
                <w:rFonts w:hint="eastAsia"/>
                <w:lang w:eastAsia="zh-CN" w:bidi="hi-IN"/>
              </w:rPr>
            </w:pPr>
            <w:r>
              <w:rPr>
                <w:lang w:eastAsia="zh-CN" w:bidi="hi-IN"/>
              </w:rPr>
              <w:t>CONDIÇÕES GERAIS DA CONTRATAÇÃO</w:t>
            </w:r>
          </w:p>
        </w:tc>
      </w:tr>
    </w:tbl>
    <w:p w14:paraId="3AD21147">
      <w:pPr>
        <w:pStyle w:val="29"/>
        <w:numPr>
          <w:ilvl w:val="1"/>
          <w:numId w:val="2"/>
        </w:numPr>
        <w:ind w:left="0" w:right="-427" w:firstLine="0"/>
        <w:rPr>
          <w:rFonts w:ascii="Arial Narrow" w:hAnsi="Arial Narrow" w:cs="Arial"/>
        </w:rPr>
      </w:pPr>
      <w:r>
        <w:t>Registro de preço para futura e eventual aquisição de medicamentos controlados, para atender às necessidades da Policlínica Regional de Saúde em Ribeira do Pombal, Estado da Bahia.</w:t>
      </w:r>
    </w:p>
    <w:p w14:paraId="2AF196AA">
      <w:pPr>
        <w:pStyle w:val="29"/>
        <w:numPr>
          <w:ilvl w:val="1"/>
          <w:numId w:val="2"/>
        </w:numPr>
        <w:ind w:left="0" w:right="-427" w:firstLine="0"/>
      </w:pPr>
      <w:r>
        <w:t xml:space="preserve">Planilha de detalhamento do objeto: </w:t>
      </w:r>
    </w:p>
    <w:tbl>
      <w:tblPr>
        <w:tblStyle w:val="54"/>
        <w:tblW w:w="10035" w:type="dxa"/>
        <w:tblInd w:w="137" w:type="dxa"/>
        <w:tblLayout w:type="fixed"/>
        <w:tblCellMar>
          <w:top w:w="47" w:type="dxa"/>
          <w:left w:w="102" w:type="dxa"/>
          <w:bottom w:w="1" w:type="dxa"/>
          <w:right w:w="48" w:type="dxa"/>
        </w:tblCellMar>
      </w:tblPr>
      <w:tblGrid>
        <w:gridCol w:w="674"/>
        <w:gridCol w:w="992"/>
        <w:gridCol w:w="3830"/>
        <w:gridCol w:w="1135"/>
        <w:gridCol w:w="992"/>
        <w:gridCol w:w="1135"/>
        <w:gridCol w:w="1277"/>
      </w:tblGrid>
      <w:tr w14:paraId="161BCE0D">
        <w:tblPrEx>
          <w:tblCellMar>
            <w:top w:w="47" w:type="dxa"/>
            <w:left w:w="102" w:type="dxa"/>
            <w:bottom w:w="1" w:type="dxa"/>
            <w:right w:w="48" w:type="dxa"/>
          </w:tblCellMar>
        </w:tblPrEx>
        <w:trPr>
          <w:trHeight w:val="548" w:hRule="atLeast"/>
        </w:trPr>
        <w:tc>
          <w:tcPr>
            <w:tcW w:w="674" w:type="dxa"/>
            <w:tcBorders>
              <w:top w:val="single" w:color="000000" w:sz="2" w:space="0"/>
              <w:left w:val="single" w:color="000000" w:sz="8" w:space="0"/>
              <w:bottom w:val="single" w:color="000000" w:sz="2" w:space="0"/>
              <w:right w:val="single" w:color="000000" w:sz="2" w:space="0"/>
            </w:tcBorders>
            <w:shd w:val="clear" w:color="auto" w:fill="F1F1F1" w:themeFill="background1" w:themeFillShade="F2"/>
            <w:vAlign w:val="center"/>
          </w:tcPr>
          <w:p w14:paraId="5506D48E">
            <w:pPr>
              <w:ind w:left="64"/>
              <w:jc w:val="center"/>
              <w:rPr>
                <w:rFonts w:hint="eastAsia" w:ascii="Arial" w:hAnsi="Arial"/>
                <w:sz w:val="20"/>
                <w:szCs w:val="20"/>
              </w:rPr>
            </w:pPr>
            <w:r>
              <w:rPr>
                <w:rFonts w:ascii="Arial" w:hAnsi="Arial"/>
                <w:b/>
                <w:sz w:val="20"/>
                <w:szCs w:val="20"/>
              </w:rPr>
              <w:t>Item</w:t>
            </w:r>
          </w:p>
        </w:tc>
        <w:tc>
          <w:tcPr>
            <w:tcW w:w="992" w:type="dxa"/>
            <w:tcBorders>
              <w:top w:val="single" w:color="000000" w:sz="2" w:space="0"/>
              <w:left w:val="single" w:color="000000" w:sz="2" w:space="0"/>
              <w:bottom w:val="single" w:color="000000" w:sz="2" w:space="0"/>
              <w:right w:val="single" w:color="000000" w:sz="2" w:space="0"/>
            </w:tcBorders>
            <w:shd w:val="clear" w:color="auto" w:fill="F1F1F1" w:themeFill="background1" w:themeFillShade="F2"/>
            <w:vAlign w:val="center"/>
          </w:tcPr>
          <w:p w14:paraId="54B16EBD">
            <w:pPr>
              <w:ind w:right="52"/>
              <w:jc w:val="center"/>
              <w:rPr>
                <w:rFonts w:ascii="Arial" w:hAnsi="Arial"/>
                <w:sz w:val="20"/>
                <w:szCs w:val="20"/>
              </w:rPr>
            </w:pPr>
            <w:r>
              <w:rPr>
                <w:rFonts w:ascii="Arial" w:hAnsi="Arial"/>
                <w:b/>
                <w:sz w:val="20"/>
                <w:szCs w:val="20"/>
              </w:rPr>
              <w:t>Cat/mat</w:t>
            </w:r>
          </w:p>
        </w:tc>
        <w:tc>
          <w:tcPr>
            <w:tcW w:w="3828" w:type="dxa"/>
            <w:tcBorders>
              <w:top w:val="single" w:color="000000" w:sz="2" w:space="0"/>
              <w:left w:val="single" w:color="000000" w:sz="2" w:space="0"/>
              <w:bottom w:val="single" w:color="000000" w:sz="2" w:space="0"/>
              <w:right w:val="single" w:color="000000" w:sz="2" w:space="0"/>
            </w:tcBorders>
            <w:shd w:val="clear" w:color="auto" w:fill="F1F1F1" w:themeFill="background1" w:themeFillShade="F2"/>
            <w:vAlign w:val="center"/>
          </w:tcPr>
          <w:p w14:paraId="37036887">
            <w:pPr>
              <w:ind w:right="52"/>
              <w:jc w:val="center"/>
              <w:rPr>
                <w:rFonts w:ascii="Arial" w:hAnsi="Arial"/>
                <w:sz w:val="20"/>
                <w:szCs w:val="20"/>
              </w:rPr>
            </w:pPr>
            <w:r>
              <w:rPr>
                <w:rFonts w:ascii="Arial" w:hAnsi="Arial"/>
                <w:b/>
                <w:sz w:val="20"/>
                <w:szCs w:val="20"/>
              </w:rPr>
              <w:t>Descrição</w:t>
            </w:r>
          </w:p>
        </w:tc>
        <w:tc>
          <w:tcPr>
            <w:tcW w:w="1134" w:type="dxa"/>
            <w:tcBorders>
              <w:top w:val="single" w:color="000000" w:sz="2" w:space="0"/>
              <w:left w:val="single" w:color="000000" w:sz="2" w:space="0"/>
              <w:bottom w:val="single" w:color="000000" w:sz="2" w:space="0"/>
              <w:right w:val="single" w:color="000000" w:sz="2" w:space="0"/>
            </w:tcBorders>
            <w:shd w:val="clear" w:color="auto" w:fill="F1F1F1" w:themeFill="background1" w:themeFillShade="F2"/>
            <w:vAlign w:val="center"/>
          </w:tcPr>
          <w:p w14:paraId="6EDDCAD1">
            <w:pPr>
              <w:ind w:left="94"/>
              <w:rPr>
                <w:rFonts w:ascii="Arial" w:hAnsi="Arial"/>
                <w:sz w:val="20"/>
                <w:szCs w:val="20"/>
              </w:rPr>
            </w:pPr>
            <w:r>
              <w:rPr>
                <w:rFonts w:ascii="Arial" w:hAnsi="Arial"/>
                <w:b/>
                <w:sz w:val="20"/>
                <w:szCs w:val="20"/>
              </w:rPr>
              <w:t>Unidade</w:t>
            </w:r>
          </w:p>
        </w:tc>
        <w:tc>
          <w:tcPr>
            <w:tcW w:w="992" w:type="dxa"/>
            <w:tcBorders>
              <w:top w:val="single" w:color="000000" w:sz="2" w:space="0"/>
              <w:left w:val="single" w:color="000000" w:sz="2" w:space="0"/>
              <w:bottom w:val="single" w:color="000000" w:sz="2" w:space="0"/>
              <w:right w:val="single" w:color="000000" w:sz="8" w:space="0"/>
            </w:tcBorders>
            <w:shd w:val="clear" w:color="auto" w:fill="F1F1F1" w:themeFill="background1" w:themeFillShade="F2"/>
            <w:vAlign w:val="center"/>
          </w:tcPr>
          <w:p w14:paraId="4098BB9A">
            <w:pPr>
              <w:ind w:right="38"/>
              <w:jc w:val="center"/>
              <w:rPr>
                <w:rFonts w:ascii="Arial" w:hAnsi="Arial"/>
                <w:b/>
                <w:sz w:val="20"/>
                <w:szCs w:val="20"/>
              </w:rPr>
            </w:pPr>
            <w:r>
              <w:rPr>
                <w:rFonts w:ascii="Arial" w:hAnsi="Arial"/>
                <w:b/>
                <w:sz w:val="20"/>
                <w:szCs w:val="20"/>
              </w:rPr>
              <w:t>Qtd.</w:t>
            </w:r>
          </w:p>
        </w:tc>
        <w:tc>
          <w:tcPr>
            <w:tcW w:w="1134" w:type="dxa"/>
            <w:tcBorders>
              <w:top w:val="single" w:color="000000" w:sz="2" w:space="0"/>
              <w:left w:val="single" w:color="000000" w:sz="2" w:space="0"/>
              <w:bottom w:val="single" w:color="000000" w:sz="2" w:space="0"/>
              <w:right w:val="single" w:color="000000" w:sz="8" w:space="0"/>
            </w:tcBorders>
            <w:shd w:val="clear" w:color="auto" w:fill="F1F1F1" w:themeFill="background1" w:themeFillShade="F2"/>
            <w:vAlign w:val="center"/>
          </w:tcPr>
          <w:p w14:paraId="19DBF7B6">
            <w:pPr>
              <w:ind w:right="38"/>
              <w:jc w:val="center"/>
              <w:rPr>
                <w:rFonts w:ascii="Arial" w:hAnsi="Arial"/>
                <w:b/>
                <w:sz w:val="20"/>
                <w:szCs w:val="20"/>
              </w:rPr>
            </w:pPr>
            <w:r>
              <w:rPr>
                <w:rFonts w:ascii="Arial" w:hAnsi="Arial"/>
                <w:b/>
                <w:sz w:val="20"/>
                <w:szCs w:val="20"/>
              </w:rPr>
              <w:t>Valor Unit</w:t>
            </w:r>
          </w:p>
        </w:tc>
        <w:tc>
          <w:tcPr>
            <w:tcW w:w="1276" w:type="dxa"/>
            <w:tcBorders>
              <w:top w:val="single" w:color="000000" w:sz="2" w:space="0"/>
              <w:left w:val="single" w:color="000000" w:sz="2" w:space="0"/>
              <w:bottom w:val="single" w:color="000000" w:sz="2" w:space="0"/>
              <w:right w:val="single" w:color="000000" w:sz="8" w:space="0"/>
            </w:tcBorders>
            <w:shd w:val="clear" w:color="auto" w:fill="F1F1F1" w:themeFill="background1" w:themeFillShade="F2"/>
            <w:vAlign w:val="center"/>
          </w:tcPr>
          <w:p w14:paraId="7040BC26">
            <w:pPr>
              <w:ind w:right="38"/>
              <w:jc w:val="center"/>
              <w:rPr>
                <w:rFonts w:ascii="Arial" w:hAnsi="Arial"/>
                <w:b/>
                <w:sz w:val="20"/>
                <w:szCs w:val="20"/>
              </w:rPr>
            </w:pPr>
            <w:r>
              <w:rPr>
                <w:rFonts w:ascii="Arial" w:hAnsi="Arial"/>
                <w:b/>
                <w:sz w:val="20"/>
                <w:szCs w:val="20"/>
              </w:rPr>
              <w:t>Valor Total</w:t>
            </w:r>
          </w:p>
        </w:tc>
      </w:tr>
      <w:tr w14:paraId="26AB2A0F">
        <w:tblPrEx>
          <w:tblCellMar>
            <w:top w:w="47" w:type="dxa"/>
            <w:left w:w="102" w:type="dxa"/>
            <w:bottom w:w="1" w:type="dxa"/>
            <w:right w:w="48" w:type="dxa"/>
          </w:tblCellMar>
        </w:tblPrEx>
        <w:trPr>
          <w:trHeight w:val="280" w:hRule="atLeast"/>
        </w:trPr>
        <w:tc>
          <w:tcPr>
            <w:tcW w:w="674" w:type="dxa"/>
            <w:tcBorders>
              <w:top w:val="single" w:color="000000" w:sz="2" w:space="0"/>
              <w:left w:val="single" w:color="000000" w:sz="8" w:space="0"/>
              <w:bottom w:val="single" w:color="000000" w:sz="2" w:space="0"/>
              <w:right w:val="single" w:color="000000" w:sz="2" w:space="0"/>
            </w:tcBorders>
            <w:vAlign w:val="center"/>
          </w:tcPr>
          <w:p w14:paraId="6265606F">
            <w:pPr>
              <w:ind w:right="64"/>
              <w:jc w:val="center"/>
              <w:rPr>
                <w:rFonts w:hint="eastAsia" w:ascii="Arial" w:hAnsi="Arial"/>
                <w:sz w:val="18"/>
                <w:szCs w:val="18"/>
              </w:rPr>
            </w:pPr>
            <w:r>
              <w:rPr>
                <w:rFonts w:ascii="Arial" w:hAnsi="Arial"/>
                <w:sz w:val="18"/>
                <w:szCs w:val="18"/>
              </w:rPr>
              <w:t>1</w:t>
            </w:r>
          </w:p>
        </w:tc>
        <w:tc>
          <w:tcPr>
            <w:tcW w:w="992" w:type="dxa"/>
            <w:tcBorders>
              <w:top w:val="single" w:color="000000" w:sz="2" w:space="0"/>
              <w:left w:val="single" w:color="000000" w:sz="2" w:space="0"/>
              <w:bottom w:val="single" w:color="000000" w:sz="2" w:space="0"/>
              <w:right w:val="single" w:color="000000" w:sz="2" w:space="0"/>
            </w:tcBorders>
            <w:vAlign w:val="center"/>
          </w:tcPr>
          <w:p w14:paraId="76976740">
            <w:pPr>
              <w:jc w:val="center"/>
              <w:rPr>
                <w:rFonts w:ascii="Arial" w:hAnsi="Arial"/>
                <w:sz w:val="18"/>
                <w:szCs w:val="18"/>
              </w:rPr>
            </w:pPr>
            <w:r>
              <w:rPr>
                <w:rFonts w:ascii="Arial" w:hAnsi="Arial"/>
                <w:sz w:val="18"/>
                <w:szCs w:val="18"/>
              </w:rPr>
              <w:t>271773</w:t>
            </w:r>
          </w:p>
        </w:tc>
        <w:tc>
          <w:tcPr>
            <w:tcW w:w="3828" w:type="dxa"/>
            <w:tcBorders>
              <w:top w:val="single" w:color="000000" w:sz="2" w:space="0"/>
              <w:left w:val="single" w:color="000000" w:sz="2" w:space="0"/>
              <w:bottom w:val="single" w:color="000000" w:sz="2" w:space="0"/>
              <w:right w:val="single" w:color="000000" w:sz="2" w:space="0"/>
            </w:tcBorders>
            <w:vAlign w:val="center"/>
          </w:tcPr>
          <w:p w14:paraId="74693927">
            <w:pPr>
              <w:jc w:val="both"/>
              <w:rPr>
                <w:rFonts w:ascii="Arial" w:hAnsi="Arial" w:cs="Arial"/>
                <w:sz w:val="18"/>
                <w:szCs w:val="18"/>
              </w:rPr>
            </w:pPr>
            <w:r>
              <w:rPr>
                <w:rFonts w:ascii="Arial" w:hAnsi="Arial" w:cs="Arial"/>
                <w:sz w:val="18"/>
                <w:szCs w:val="18"/>
              </w:rPr>
              <w:t>Bromazepam Dosagem: 3 Mg</w:t>
            </w:r>
          </w:p>
        </w:tc>
        <w:tc>
          <w:tcPr>
            <w:tcW w:w="1134" w:type="dxa"/>
            <w:tcBorders>
              <w:top w:val="single" w:color="000000" w:sz="2" w:space="0"/>
              <w:left w:val="single" w:color="000000" w:sz="2" w:space="0"/>
              <w:bottom w:val="single" w:color="000000" w:sz="2" w:space="0"/>
              <w:right w:val="single" w:color="000000" w:sz="2" w:space="0"/>
            </w:tcBorders>
            <w:vAlign w:val="center"/>
          </w:tcPr>
          <w:p w14:paraId="4A3B537F">
            <w:pPr>
              <w:jc w:val="center"/>
              <w:rPr>
                <w:rFonts w:ascii="Arial" w:hAnsi="Arial"/>
                <w:sz w:val="18"/>
                <w:szCs w:val="18"/>
              </w:rPr>
            </w:pPr>
            <w:r>
              <w:rPr>
                <w:rFonts w:ascii="Arial" w:hAnsi="Arial"/>
                <w:sz w:val="18"/>
                <w:szCs w:val="18"/>
              </w:rPr>
              <w:t>Comprimido</w:t>
            </w:r>
          </w:p>
        </w:tc>
        <w:tc>
          <w:tcPr>
            <w:tcW w:w="992" w:type="dxa"/>
            <w:tcBorders>
              <w:top w:val="single" w:color="000000" w:sz="2" w:space="0"/>
              <w:left w:val="single" w:color="000000" w:sz="2" w:space="0"/>
              <w:bottom w:val="single" w:color="000000" w:sz="2" w:space="0"/>
              <w:right w:val="single" w:color="000000" w:sz="8" w:space="0"/>
            </w:tcBorders>
            <w:vAlign w:val="center"/>
          </w:tcPr>
          <w:p w14:paraId="30AE2B66">
            <w:pPr>
              <w:jc w:val="center"/>
              <w:rPr>
                <w:rFonts w:ascii="Arial" w:hAnsi="Arial"/>
                <w:sz w:val="18"/>
                <w:szCs w:val="18"/>
              </w:rPr>
            </w:pPr>
            <w:r>
              <w:rPr>
                <w:rFonts w:ascii="Arial" w:hAnsi="Arial"/>
                <w:sz w:val="18"/>
                <w:szCs w:val="18"/>
              </w:rPr>
              <w:t>100</w:t>
            </w:r>
          </w:p>
        </w:tc>
        <w:tc>
          <w:tcPr>
            <w:tcW w:w="1134" w:type="dxa"/>
            <w:tcBorders>
              <w:top w:val="single" w:color="000000" w:sz="2" w:space="0"/>
              <w:left w:val="single" w:color="000000" w:sz="2" w:space="0"/>
              <w:bottom w:val="single" w:color="000000" w:sz="2" w:space="0"/>
              <w:right w:val="single" w:color="000000" w:sz="8" w:space="0"/>
            </w:tcBorders>
            <w:vAlign w:val="center"/>
          </w:tcPr>
          <w:p w14:paraId="00C60603">
            <w:pPr>
              <w:jc w:val="center"/>
              <w:rPr>
                <w:rFonts w:ascii="Arial" w:hAnsi="Arial" w:eastAsia="Times New Roman"/>
                <w:sz w:val="18"/>
                <w:szCs w:val="18"/>
              </w:rPr>
            </w:pPr>
            <w:r>
              <w:rPr>
                <w:rFonts w:ascii="Arial" w:hAnsi="Arial" w:eastAsia="Times New Roman"/>
                <w:sz w:val="18"/>
                <w:szCs w:val="18"/>
              </w:rPr>
              <w:t>R$ 0,22</w:t>
            </w:r>
          </w:p>
        </w:tc>
        <w:tc>
          <w:tcPr>
            <w:tcW w:w="1276" w:type="dxa"/>
            <w:tcBorders>
              <w:top w:val="single" w:color="000000" w:sz="2" w:space="0"/>
              <w:left w:val="single" w:color="000000" w:sz="2" w:space="0"/>
              <w:bottom w:val="single" w:color="000000" w:sz="2" w:space="0"/>
              <w:right w:val="single" w:color="000000" w:sz="8" w:space="0"/>
            </w:tcBorders>
          </w:tcPr>
          <w:p w14:paraId="73C8734A">
            <w:pPr>
              <w:jc w:val="center"/>
              <w:rPr>
                <w:rFonts w:ascii="Arial" w:hAnsi="Arial" w:eastAsia="Times New Roman"/>
                <w:sz w:val="18"/>
                <w:szCs w:val="18"/>
              </w:rPr>
            </w:pPr>
            <w:r>
              <w:rPr>
                <w:rFonts w:ascii="Arial" w:hAnsi="Arial" w:eastAsia="Times New Roman"/>
                <w:sz w:val="18"/>
                <w:szCs w:val="18"/>
              </w:rPr>
              <w:t>R$ 22,00</w:t>
            </w:r>
          </w:p>
        </w:tc>
      </w:tr>
      <w:tr w14:paraId="6786BA5E">
        <w:tblPrEx>
          <w:tblCellMar>
            <w:top w:w="47" w:type="dxa"/>
            <w:left w:w="102" w:type="dxa"/>
            <w:bottom w:w="1" w:type="dxa"/>
            <w:right w:w="48" w:type="dxa"/>
          </w:tblCellMar>
        </w:tblPrEx>
        <w:trPr>
          <w:trHeight w:val="276" w:hRule="atLeast"/>
        </w:trPr>
        <w:tc>
          <w:tcPr>
            <w:tcW w:w="674" w:type="dxa"/>
            <w:tcBorders>
              <w:top w:val="single" w:color="000000" w:sz="2" w:space="0"/>
              <w:left w:val="single" w:color="000000" w:sz="8" w:space="0"/>
              <w:bottom w:val="single" w:color="000000" w:sz="2" w:space="0"/>
              <w:right w:val="single" w:color="000000" w:sz="2" w:space="0"/>
            </w:tcBorders>
            <w:vAlign w:val="center"/>
          </w:tcPr>
          <w:p w14:paraId="2FBC45CE">
            <w:pPr>
              <w:ind w:right="64"/>
              <w:jc w:val="center"/>
              <w:rPr>
                <w:rFonts w:hint="eastAsia" w:ascii="Arial" w:hAnsi="Arial"/>
                <w:sz w:val="18"/>
                <w:szCs w:val="18"/>
              </w:rPr>
            </w:pPr>
            <w:r>
              <w:rPr>
                <w:rFonts w:ascii="Arial" w:hAnsi="Arial"/>
                <w:sz w:val="18"/>
                <w:szCs w:val="18"/>
              </w:rPr>
              <w:t>2</w:t>
            </w:r>
          </w:p>
        </w:tc>
        <w:tc>
          <w:tcPr>
            <w:tcW w:w="992" w:type="dxa"/>
            <w:tcBorders>
              <w:top w:val="single" w:color="000000" w:sz="2" w:space="0"/>
              <w:left w:val="single" w:color="000000" w:sz="2" w:space="0"/>
              <w:bottom w:val="single" w:color="000000" w:sz="2" w:space="0"/>
              <w:right w:val="single" w:color="000000" w:sz="2" w:space="0"/>
            </w:tcBorders>
            <w:vAlign w:val="center"/>
          </w:tcPr>
          <w:p w14:paraId="3825BC1F">
            <w:pPr>
              <w:jc w:val="center"/>
              <w:rPr>
                <w:rFonts w:ascii="Arial" w:hAnsi="Arial"/>
                <w:sz w:val="18"/>
                <w:szCs w:val="18"/>
              </w:rPr>
            </w:pPr>
            <w:r>
              <w:rPr>
                <w:rFonts w:ascii="Arial" w:hAnsi="Arial"/>
                <w:sz w:val="18"/>
                <w:szCs w:val="18"/>
              </w:rPr>
              <w:t>602763</w:t>
            </w:r>
          </w:p>
        </w:tc>
        <w:tc>
          <w:tcPr>
            <w:tcW w:w="3828" w:type="dxa"/>
            <w:tcBorders>
              <w:top w:val="single" w:color="000000" w:sz="2" w:space="0"/>
              <w:left w:val="single" w:color="000000" w:sz="2" w:space="0"/>
              <w:bottom w:val="single" w:color="000000" w:sz="2" w:space="0"/>
              <w:right w:val="single" w:color="000000" w:sz="2" w:space="0"/>
            </w:tcBorders>
            <w:vAlign w:val="center"/>
          </w:tcPr>
          <w:p w14:paraId="4B98E0E4">
            <w:pPr>
              <w:jc w:val="both"/>
              <w:rPr>
                <w:rFonts w:ascii="Arial" w:hAnsi="Arial" w:cs="Arial"/>
                <w:sz w:val="18"/>
                <w:szCs w:val="18"/>
              </w:rPr>
            </w:pPr>
            <w:r>
              <w:rPr>
                <w:rFonts w:ascii="Arial" w:hAnsi="Arial" w:cs="Arial"/>
                <w:sz w:val="18"/>
                <w:szCs w:val="18"/>
              </w:rPr>
              <w:t>Escetamina Concentração: 50 MG/ML, Forma Farmacêutica: Solução Injetável</w:t>
            </w:r>
          </w:p>
        </w:tc>
        <w:tc>
          <w:tcPr>
            <w:tcW w:w="1134" w:type="dxa"/>
            <w:tcBorders>
              <w:top w:val="single" w:color="000000" w:sz="2" w:space="0"/>
              <w:left w:val="single" w:color="000000" w:sz="2" w:space="0"/>
              <w:bottom w:val="single" w:color="000000" w:sz="2" w:space="0"/>
              <w:right w:val="single" w:color="000000" w:sz="2" w:space="0"/>
            </w:tcBorders>
            <w:vAlign w:val="center"/>
          </w:tcPr>
          <w:p w14:paraId="77A50939">
            <w:pPr>
              <w:jc w:val="center"/>
              <w:rPr>
                <w:rFonts w:ascii="Arial" w:hAnsi="Arial"/>
                <w:sz w:val="18"/>
                <w:szCs w:val="18"/>
              </w:rPr>
            </w:pPr>
            <w:r>
              <w:rPr>
                <w:rFonts w:ascii="Arial" w:hAnsi="Arial"/>
                <w:sz w:val="18"/>
                <w:szCs w:val="18"/>
              </w:rPr>
              <w:t>Frasco 10 ML</w:t>
            </w:r>
          </w:p>
        </w:tc>
        <w:tc>
          <w:tcPr>
            <w:tcW w:w="992" w:type="dxa"/>
            <w:tcBorders>
              <w:top w:val="single" w:color="000000" w:sz="2" w:space="0"/>
              <w:left w:val="single" w:color="000000" w:sz="2" w:space="0"/>
              <w:bottom w:val="single" w:color="000000" w:sz="2" w:space="0"/>
              <w:right w:val="single" w:color="000000" w:sz="8" w:space="0"/>
            </w:tcBorders>
            <w:vAlign w:val="center"/>
          </w:tcPr>
          <w:p w14:paraId="1C267702">
            <w:pPr>
              <w:jc w:val="center"/>
              <w:rPr>
                <w:rFonts w:ascii="Arial" w:hAnsi="Arial"/>
                <w:sz w:val="18"/>
                <w:szCs w:val="18"/>
              </w:rPr>
            </w:pPr>
            <w:r>
              <w:rPr>
                <w:rFonts w:ascii="Arial" w:hAnsi="Arial"/>
                <w:sz w:val="18"/>
                <w:szCs w:val="18"/>
              </w:rPr>
              <w:t>50</w:t>
            </w:r>
          </w:p>
        </w:tc>
        <w:tc>
          <w:tcPr>
            <w:tcW w:w="1134" w:type="dxa"/>
            <w:tcBorders>
              <w:top w:val="single" w:color="000000" w:sz="2" w:space="0"/>
              <w:left w:val="single" w:color="000000" w:sz="2" w:space="0"/>
              <w:bottom w:val="single" w:color="000000" w:sz="2" w:space="0"/>
              <w:right w:val="single" w:color="000000" w:sz="8" w:space="0"/>
            </w:tcBorders>
          </w:tcPr>
          <w:p w14:paraId="6E1BCF09">
            <w:pPr>
              <w:jc w:val="center"/>
              <w:rPr>
                <w:rFonts w:ascii="Arial" w:hAnsi="Arial" w:eastAsia="Times New Roman"/>
                <w:sz w:val="18"/>
                <w:szCs w:val="18"/>
              </w:rPr>
            </w:pPr>
          </w:p>
          <w:p w14:paraId="62A47D97">
            <w:pPr>
              <w:jc w:val="center"/>
              <w:rPr>
                <w:rFonts w:ascii="Arial" w:hAnsi="Arial" w:eastAsia="Times New Roman"/>
                <w:sz w:val="18"/>
                <w:szCs w:val="18"/>
              </w:rPr>
            </w:pPr>
            <w:r>
              <w:rPr>
                <w:rFonts w:ascii="Arial" w:hAnsi="Arial" w:eastAsia="Times New Roman"/>
                <w:sz w:val="18"/>
                <w:szCs w:val="18"/>
              </w:rPr>
              <w:t>R$ 96,57</w:t>
            </w:r>
          </w:p>
        </w:tc>
        <w:tc>
          <w:tcPr>
            <w:tcW w:w="1276" w:type="dxa"/>
            <w:tcBorders>
              <w:top w:val="single" w:color="000000" w:sz="2" w:space="0"/>
              <w:left w:val="single" w:color="000000" w:sz="2" w:space="0"/>
              <w:bottom w:val="single" w:color="000000" w:sz="2" w:space="0"/>
              <w:right w:val="single" w:color="000000" w:sz="8" w:space="0"/>
            </w:tcBorders>
          </w:tcPr>
          <w:p w14:paraId="47DDF550">
            <w:pPr>
              <w:jc w:val="center"/>
              <w:rPr>
                <w:rFonts w:ascii="Arial" w:hAnsi="Arial" w:eastAsia="Times New Roman"/>
                <w:sz w:val="18"/>
                <w:szCs w:val="18"/>
              </w:rPr>
            </w:pPr>
          </w:p>
          <w:p w14:paraId="32A4EAF7">
            <w:pPr>
              <w:jc w:val="center"/>
              <w:rPr>
                <w:rFonts w:ascii="Arial" w:hAnsi="Arial" w:eastAsia="Times New Roman"/>
                <w:sz w:val="18"/>
                <w:szCs w:val="18"/>
              </w:rPr>
            </w:pPr>
            <w:r>
              <w:rPr>
                <w:rFonts w:ascii="Arial" w:hAnsi="Arial" w:eastAsia="Times New Roman"/>
                <w:sz w:val="18"/>
                <w:szCs w:val="18"/>
              </w:rPr>
              <w:t>R$ 4.828,50</w:t>
            </w:r>
          </w:p>
        </w:tc>
      </w:tr>
      <w:tr w14:paraId="01C63399">
        <w:tblPrEx>
          <w:tblCellMar>
            <w:top w:w="47" w:type="dxa"/>
            <w:left w:w="102" w:type="dxa"/>
            <w:bottom w:w="1" w:type="dxa"/>
            <w:right w:w="48" w:type="dxa"/>
          </w:tblCellMar>
        </w:tblPrEx>
        <w:trPr>
          <w:trHeight w:val="659" w:hRule="atLeast"/>
        </w:trPr>
        <w:tc>
          <w:tcPr>
            <w:tcW w:w="674" w:type="dxa"/>
            <w:tcBorders>
              <w:top w:val="single" w:color="000000" w:sz="2" w:space="0"/>
              <w:left w:val="single" w:color="000000" w:sz="8" w:space="0"/>
              <w:bottom w:val="single" w:color="000000" w:sz="2" w:space="0"/>
              <w:right w:val="single" w:color="000000" w:sz="2" w:space="0"/>
            </w:tcBorders>
            <w:vAlign w:val="center"/>
          </w:tcPr>
          <w:p w14:paraId="31502A38">
            <w:pPr>
              <w:ind w:right="64"/>
              <w:jc w:val="center"/>
              <w:rPr>
                <w:rFonts w:hint="eastAsia" w:ascii="Arial" w:hAnsi="Arial"/>
                <w:sz w:val="18"/>
                <w:szCs w:val="18"/>
              </w:rPr>
            </w:pPr>
            <w:r>
              <w:rPr>
                <w:rFonts w:ascii="Arial" w:hAnsi="Arial"/>
                <w:sz w:val="18"/>
                <w:szCs w:val="18"/>
              </w:rPr>
              <w:t>3</w:t>
            </w:r>
          </w:p>
        </w:tc>
        <w:tc>
          <w:tcPr>
            <w:tcW w:w="992" w:type="dxa"/>
            <w:tcBorders>
              <w:top w:val="single" w:color="000000" w:sz="2" w:space="0"/>
              <w:left w:val="single" w:color="000000" w:sz="2" w:space="0"/>
              <w:bottom w:val="single" w:color="000000" w:sz="2" w:space="0"/>
              <w:right w:val="single" w:color="000000" w:sz="2" w:space="0"/>
            </w:tcBorders>
            <w:vAlign w:val="center"/>
          </w:tcPr>
          <w:p w14:paraId="39F2F86B">
            <w:pPr>
              <w:jc w:val="center"/>
              <w:rPr>
                <w:rFonts w:ascii="Arial" w:hAnsi="Arial"/>
                <w:sz w:val="18"/>
                <w:szCs w:val="18"/>
              </w:rPr>
            </w:pPr>
            <w:r>
              <w:rPr>
                <w:rFonts w:ascii="Arial" w:hAnsi="Arial"/>
                <w:sz w:val="18"/>
                <w:szCs w:val="18"/>
              </w:rPr>
              <w:t>352204</w:t>
            </w:r>
          </w:p>
        </w:tc>
        <w:tc>
          <w:tcPr>
            <w:tcW w:w="3828" w:type="dxa"/>
            <w:tcBorders>
              <w:top w:val="single" w:color="000000" w:sz="2" w:space="0"/>
              <w:left w:val="single" w:color="000000" w:sz="2" w:space="0"/>
              <w:bottom w:val="single" w:color="000000" w:sz="2" w:space="0"/>
              <w:right w:val="single" w:color="000000" w:sz="2" w:space="0"/>
            </w:tcBorders>
            <w:vAlign w:val="center"/>
          </w:tcPr>
          <w:p w14:paraId="232B7D45">
            <w:pPr>
              <w:jc w:val="both"/>
              <w:rPr>
                <w:rFonts w:ascii="Arial" w:hAnsi="Arial" w:cs="Arial"/>
                <w:sz w:val="18"/>
                <w:szCs w:val="18"/>
              </w:rPr>
            </w:pPr>
            <w:r>
              <w:rPr>
                <w:rFonts w:ascii="Arial" w:hAnsi="Arial" w:cs="Arial"/>
                <w:sz w:val="18"/>
                <w:szCs w:val="18"/>
              </w:rPr>
              <w:t>Dexmedetomidina Cloridrato Concentraçao: 100 MCG/ML, Forma Farmaceutica: Solução Injetável</w:t>
            </w:r>
          </w:p>
        </w:tc>
        <w:tc>
          <w:tcPr>
            <w:tcW w:w="1134" w:type="dxa"/>
            <w:tcBorders>
              <w:top w:val="single" w:color="000000" w:sz="2" w:space="0"/>
              <w:left w:val="single" w:color="000000" w:sz="2" w:space="0"/>
              <w:bottom w:val="single" w:color="000000" w:sz="2" w:space="0"/>
              <w:right w:val="single" w:color="000000" w:sz="2" w:space="0"/>
            </w:tcBorders>
            <w:vAlign w:val="center"/>
          </w:tcPr>
          <w:p w14:paraId="7CEA42FA">
            <w:pPr>
              <w:jc w:val="center"/>
              <w:rPr>
                <w:rFonts w:ascii="Arial" w:hAnsi="Arial"/>
                <w:sz w:val="18"/>
                <w:szCs w:val="18"/>
              </w:rPr>
            </w:pPr>
            <w:r>
              <w:rPr>
                <w:rFonts w:ascii="Arial" w:hAnsi="Arial"/>
                <w:sz w:val="18"/>
                <w:szCs w:val="18"/>
              </w:rPr>
              <w:t>Frasco 2 ML</w:t>
            </w:r>
          </w:p>
        </w:tc>
        <w:tc>
          <w:tcPr>
            <w:tcW w:w="992" w:type="dxa"/>
            <w:tcBorders>
              <w:top w:val="single" w:color="000000" w:sz="2" w:space="0"/>
              <w:left w:val="single" w:color="000000" w:sz="2" w:space="0"/>
              <w:bottom w:val="single" w:color="000000" w:sz="2" w:space="0"/>
              <w:right w:val="single" w:color="000000" w:sz="8" w:space="0"/>
            </w:tcBorders>
            <w:vAlign w:val="center"/>
          </w:tcPr>
          <w:p w14:paraId="0AC0C5B9">
            <w:pPr>
              <w:jc w:val="center"/>
              <w:rPr>
                <w:rFonts w:ascii="Arial" w:hAnsi="Arial"/>
                <w:sz w:val="18"/>
                <w:szCs w:val="18"/>
              </w:rPr>
            </w:pPr>
            <w:r>
              <w:rPr>
                <w:rFonts w:ascii="Arial" w:hAnsi="Arial"/>
                <w:sz w:val="18"/>
                <w:szCs w:val="18"/>
              </w:rPr>
              <w:t>50</w:t>
            </w:r>
          </w:p>
        </w:tc>
        <w:tc>
          <w:tcPr>
            <w:tcW w:w="1134" w:type="dxa"/>
            <w:tcBorders>
              <w:top w:val="single" w:color="000000" w:sz="2" w:space="0"/>
              <w:left w:val="single" w:color="000000" w:sz="2" w:space="0"/>
              <w:bottom w:val="single" w:color="000000" w:sz="2" w:space="0"/>
              <w:right w:val="single" w:color="000000" w:sz="8" w:space="0"/>
            </w:tcBorders>
          </w:tcPr>
          <w:p w14:paraId="704A9602">
            <w:pPr>
              <w:jc w:val="center"/>
              <w:rPr>
                <w:rFonts w:ascii="Arial" w:hAnsi="Arial" w:eastAsia="Times New Roman"/>
                <w:sz w:val="18"/>
                <w:szCs w:val="18"/>
              </w:rPr>
            </w:pPr>
          </w:p>
          <w:p w14:paraId="502B9E72">
            <w:pPr>
              <w:jc w:val="center"/>
              <w:rPr>
                <w:rFonts w:ascii="Arial" w:hAnsi="Arial" w:eastAsia="Times New Roman"/>
                <w:sz w:val="18"/>
                <w:szCs w:val="18"/>
              </w:rPr>
            </w:pPr>
            <w:r>
              <w:rPr>
                <w:rFonts w:ascii="Arial" w:hAnsi="Arial" w:eastAsia="Times New Roman"/>
                <w:sz w:val="18"/>
                <w:szCs w:val="18"/>
              </w:rPr>
              <w:t>R$ 16,69</w:t>
            </w:r>
          </w:p>
        </w:tc>
        <w:tc>
          <w:tcPr>
            <w:tcW w:w="1276" w:type="dxa"/>
            <w:tcBorders>
              <w:top w:val="single" w:color="000000" w:sz="2" w:space="0"/>
              <w:left w:val="single" w:color="000000" w:sz="2" w:space="0"/>
              <w:bottom w:val="single" w:color="000000" w:sz="2" w:space="0"/>
              <w:right w:val="single" w:color="000000" w:sz="8" w:space="0"/>
            </w:tcBorders>
          </w:tcPr>
          <w:p w14:paraId="7D19D9E4">
            <w:pPr>
              <w:jc w:val="center"/>
              <w:rPr>
                <w:rFonts w:ascii="Arial" w:hAnsi="Arial" w:eastAsia="Times New Roman"/>
                <w:sz w:val="18"/>
                <w:szCs w:val="18"/>
              </w:rPr>
            </w:pPr>
          </w:p>
          <w:p w14:paraId="49720BAC">
            <w:pPr>
              <w:jc w:val="center"/>
              <w:rPr>
                <w:rFonts w:ascii="Arial" w:hAnsi="Arial" w:eastAsia="Times New Roman"/>
                <w:sz w:val="18"/>
                <w:szCs w:val="18"/>
              </w:rPr>
            </w:pPr>
            <w:r>
              <w:rPr>
                <w:rFonts w:ascii="Arial" w:hAnsi="Arial" w:eastAsia="Times New Roman"/>
                <w:sz w:val="18"/>
                <w:szCs w:val="18"/>
              </w:rPr>
              <w:t>R$ 834,50</w:t>
            </w:r>
          </w:p>
        </w:tc>
      </w:tr>
      <w:tr w14:paraId="3A0C7E11">
        <w:tblPrEx>
          <w:tblCellMar>
            <w:top w:w="47" w:type="dxa"/>
            <w:left w:w="102" w:type="dxa"/>
            <w:bottom w:w="1" w:type="dxa"/>
            <w:right w:w="48" w:type="dxa"/>
          </w:tblCellMar>
        </w:tblPrEx>
        <w:trPr>
          <w:trHeight w:val="276" w:hRule="atLeast"/>
        </w:trPr>
        <w:tc>
          <w:tcPr>
            <w:tcW w:w="674" w:type="dxa"/>
            <w:tcBorders>
              <w:top w:val="single" w:color="000000" w:sz="2" w:space="0"/>
              <w:left w:val="single" w:color="000000" w:sz="8" w:space="0"/>
              <w:bottom w:val="single" w:color="000000" w:sz="2" w:space="0"/>
              <w:right w:val="single" w:color="000000" w:sz="2" w:space="0"/>
            </w:tcBorders>
            <w:vAlign w:val="center"/>
          </w:tcPr>
          <w:p w14:paraId="14F76489">
            <w:pPr>
              <w:ind w:right="64"/>
              <w:jc w:val="center"/>
              <w:rPr>
                <w:rFonts w:hint="eastAsia" w:ascii="Arial" w:hAnsi="Arial"/>
                <w:sz w:val="18"/>
                <w:szCs w:val="18"/>
              </w:rPr>
            </w:pPr>
            <w:r>
              <w:rPr>
                <w:rFonts w:ascii="Arial" w:hAnsi="Arial"/>
                <w:sz w:val="18"/>
                <w:szCs w:val="18"/>
              </w:rPr>
              <w:t>4</w:t>
            </w:r>
          </w:p>
        </w:tc>
        <w:tc>
          <w:tcPr>
            <w:tcW w:w="992" w:type="dxa"/>
            <w:tcBorders>
              <w:top w:val="single" w:color="000000" w:sz="2" w:space="0"/>
              <w:left w:val="single" w:color="000000" w:sz="2" w:space="0"/>
              <w:bottom w:val="single" w:color="000000" w:sz="2" w:space="0"/>
              <w:right w:val="single" w:color="000000" w:sz="2" w:space="0"/>
            </w:tcBorders>
            <w:vAlign w:val="center"/>
          </w:tcPr>
          <w:p w14:paraId="48D4C42B">
            <w:pPr>
              <w:jc w:val="center"/>
              <w:rPr>
                <w:rFonts w:ascii="Arial" w:hAnsi="Arial"/>
                <w:sz w:val="18"/>
                <w:szCs w:val="18"/>
              </w:rPr>
            </w:pPr>
            <w:r>
              <w:rPr>
                <w:rFonts w:ascii="Arial" w:hAnsi="Arial"/>
                <w:sz w:val="18"/>
                <w:szCs w:val="18"/>
              </w:rPr>
              <w:t>267194</w:t>
            </w:r>
          </w:p>
        </w:tc>
        <w:tc>
          <w:tcPr>
            <w:tcW w:w="3828" w:type="dxa"/>
            <w:tcBorders>
              <w:top w:val="single" w:color="000000" w:sz="2" w:space="0"/>
              <w:left w:val="single" w:color="000000" w:sz="2" w:space="0"/>
              <w:bottom w:val="single" w:color="000000" w:sz="2" w:space="0"/>
              <w:right w:val="single" w:color="000000" w:sz="2" w:space="0"/>
            </w:tcBorders>
            <w:vAlign w:val="center"/>
          </w:tcPr>
          <w:p w14:paraId="20B38D0A">
            <w:pPr>
              <w:jc w:val="both"/>
              <w:rPr>
                <w:rFonts w:ascii="Arial" w:hAnsi="Arial" w:cs="Arial"/>
                <w:sz w:val="18"/>
                <w:szCs w:val="18"/>
              </w:rPr>
            </w:pPr>
            <w:r>
              <w:rPr>
                <w:rFonts w:ascii="Arial" w:hAnsi="Arial" w:cs="Arial"/>
                <w:sz w:val="18"/>
                <w:szCs w:val="18"/>
              </w:rPr>
              <w:t>Diazepam Dosagem: 5 MG/ML, Apresentação: Solução Injetável</w:t>
            </w:r>
          </w:p>
        </w:tc>
        <w:tc>
          <w:tcPr>
            <w:tcW w:w="1134" w:type="dxa"/>
            <w:tcBorders>
              <w:top w:val="single" w:color="000000" w:sz="2" w:space="0"/>
              <w:left w:val="single" w:color="000000" w:sz="2" w:space="0"/>
              <w:bottom w:val="single" w:color="000000" w:sz="2" w:space="0"/>
              <w:right w:val="single" w:color="000000" w:sz="2" w:space="0"/>
            </w:tcBorders>
            <w:vAlign w:val="center"/>
          </w:tcPr>
          <w:p w14:paraId="6C714ED6">
            <w:pPr>
              <w:jc w:val="center"/>
              <w:rPr>
                <w:rFonts w:ascii="Arial" w:hAnsi="Arial"/>
                <w:sz w:val="18"/>
                <w:szCs w:val="18"/>
              </w:rPr>
            </w:pPr>
            <w:r>
              <w:rPr>
                <w:rFonts w:ascii="Arial" w:hAnsi="Arial"/>
                <w:sz w:val="18"/>
                <w:szCs w:val="18"/>
              </w:rPr>
              <w:t>Ampola 2 ML</w:t>
            </w:r>
          </w:p>
        </w:tc>
        <w:tc>
          <w:tcPr>
            <w:tcW w:w="992" w:type="dxa"/>
            <w:tcBorders>
              <w:top w:val="single" w:color="000000" w:sz="2" w:space="0"/>
              <w:left w:val="single" w:color="000000" w:sz="2" w:space="0"/>
              <w:bottom w:val="single" w:color="000000" w:sz="2" w:space="0"/>
              <w:right w:val="single" w:color="000000" w:sz="8" w:space="0"/>
            </w:tcBorders>
            <w:vAlign w:val="center"/>
          </w:tcPr>
          <w:p w14:paraId="5D7D425E">
            <w:pPr>
              <w:jc w:val="center"/>
              <w:rPr>
                <w:rFonts w:ascii="Arial" w:hAnsi="Arial"/>
                <w:sz w:val="18"/>
                <w:szCs w:val="18"/>
              </w:rPr>
            </w:pPr>
            <w:r>
              <w:rPr>
                <w:rFonts w:ascii="Arial" w:hAnsi="Arial"/>
                <w:sz w:val="18"/>
                <w:szCs w:val="18"/>
              </w:rPr>
              <w:t>300</w:t>
            </w:r>
          </w:p>
        </w:tc>
        <w:tc>
          <w:tcPr>
            <w:tcW w:w="1134" w:type="dxa"/>
            <w:tcBorders>
              <w:top w:val="single" w:color="000000" w:sz="2" w:space="0"/>
              <w:left w:val="single" w:color="000000" w:sz="2" w:space="0"/>
              <w:bottom w:val="single" w:color="000000" w:sz="2" w:space="0"/>
              <w:right w:val="single" w:color="000000" w:sz="8" w:space="0"/>
            </w:tcBorders>
          </w:tcPr>
          <w:p w14:paraId="29437CC8">
            <w:pPr>
              <w:jc w:val="center"/>
              <w:rPr>
                <w:rFonts w:ascii="Arial" w:hAnsi="Arial" w:eastAsia="Times New Roman"/>
                <w:sz w:val="18"/>
                <w:szCs w:val="18"/>
              </w:rPr>
            </w:pPr>
          </w:p>
          <w:p w14:paraId="76263CD2">
            <w:pPr>
              <w:jc w:val="center"/>
              <w:rPr>
                <w:rFonts w:ascii="Arial" w:hAnsi="Arial" w:eastAsia="Times New Roman"/>
                <w:sz w:val="18"/>
                <w:szCs w:val="18"/>
              </w:rPr>
            </w:pPr>
            <w:r>
              <w:rPr>
                <w:rFonts w:ascii="Arial" w:hAnsi="Arial" w:eastAsia="Times New Roman"/>
                <w:sz w:val="18"/>
                <w:szCs w:val="18"/>
              </w:rPr>
              <w:t>R$ 1,88</w:t>
            </w:r>
          </w:p>
        </w:tc>
        <w:tc>
          <w:tcPr>
            <w:tcW w:w="1276" w:type="dxa"/>
            <w:tcBorders>
              <w:top w:val="single" w:color="000000" w:sz="2" w:space="0"/>
              <w:left w:val="single" w:color="000000" w:sz="2" w:space="0"/>
              <w:bottom w:val="single" w:color="000000" w:sz="2" w:space="0"/>
              <w:right w:val="single" w:color="000000" w:sz="8" w:space="0"/>
            </w:tcBorders>
          </w:tcPr>
          <w:p w14:paraId="078F4E70">
            <w:pPr>
              <w:jc w:val="center"/>
              <w:rPr>
                <w:rFonts w:ascii="Arial" w:hAnsi="Arial" w:eastAsia="Times New Roman"/>
                <w:sz w:val="18"/>
                <w:szCs w:val="18"/>
              </w:rPr>
            </w:pPr>
          </w:p>
          <w:p w14:paraId="1B7CB6B9">
            <w:pPr>
              <w:jc w:val="center"/>
              <w:rPr>
                <w:rFonts w:ascii="Arial" w:hAnsi="Arial" w:eastAsia="Times New Roman"/>
                <w:sz w:val="18"/>
                <w:szCs w:val="18"/>
              </w:rPr>
            </w:pPr>
            <w:r>
              <w:rPr>
                <w:rFonts w:ascii="Arial" w:hAnsi="Arial" w:eastAsia="Times New Roman"/>
                <w:sz w:val="18"/>
                <w:szCs w:val="18"/>
              </w:rPr>
              <w:t>R$ 564,00</w:t>
            </w:r>
          </w:p>
        </w:tc>
      </w:tr>
      <w:tr w14:paraId="18C078A7">
        <w:tblPrEx>
          <w:tblCellMar>
            <w:top w:w="47" w:type="dxa"/>
            <w:left w:w="102" w:type="dxa"/>
            <w:bottom w:w="1" w:type="dxa"/>
            <w:right w:w="48" w:type="dxa"/>
          </w:tblCellMar>
        </w:tblPrEx>
        <w:trPr>
          <w:trHeight w:val="276" w:hRule="atLeast"/>
        </w:trPr>
        <w:tc>
          <w:tcPr>
            <w:tcW w:w="674" w:type="dxa"/>
            <w:tcBorders>
              <w:top w:val="single" w:color="000000" w:sz="2" w:space="0"/>
              <w:left w:val="single" w:color="000000" w:sz="8" w:space="0"/>
              <w:bottom w:val="single" w:color="000000" w:sz="2" w:space="0"/>
              <w:right w:val="single" w:color="000000" w:sz="2" w:space="0"/>
            </w:tcBorders>
            <w:vAlign w:val="center"/>
          </w:tcPr>
          <w:p w14:paraId="090C5937">
            <w:pPr>
              <w:ind w:right="64"/>
              <w:jc w:val="center"/>
              <w:rPr>
                <w:rFonts w:hint="eastAsia" w:ascii="Arial" w:hAnsi="Arial"/>
                <w:sz w:val="18"/>
                <w:szCs w:val="18"/>
              </w:rPr>
            </w:pPr>
            <w:r>
              <w:rPr>
                <w:rFonts w:ascii="Arial" w:hAnsi="Arial"/>
                <w:sz w:val="18"/>
                <w:szCs w:val="18"/>
              </w:rPr>
              <w:t>5</w:t>
            </w:r>
          </w:p>
        </w:tc>
        <w:tc>
          <w:tcPr>
            <w:tcW w:w="992" w:type="dxa"/>
            <w:tcBorders>
              <w:top w:val="single" w:color="000000" w:sz="2" w:space="0"/>
              <w:left w:val="single" w:color="000000" w:sz="2" w:space="0"/>
              <w:bottom w:val="single" w:color="000000" w:sz="2" w:space="0"/>
              <w:right w:val="single" w:color="000000" w:sz="2" w:space="0"/>
            </w:tcBorders>
            <w:vAlign w:val="center"/>
          </w:tcPr>
          <w:p w14:paraId="1BBE5323">
            <w:pPr>
              <w:jc w:val="center"/>
              <w:rPr>
                <w:rFonts w:ascii="Arial" w:hAnsi="Arial"/>
                <w:sz w:val="18"/>
                <w:szCs w:val="18"/>
              </w:rPr>
            </w:pPr>
            <w:r>
              <w:rPr>
                <w:rFonts w:ascii="Arial" w:hAnsi="Arial"/>
                <w:sz w:val="18"/>
                <w:szCs w:val="18"/>
              </w:rPr>
              <w:t>270116</w:t>
            </w:r>
          </w:p>
        </w:tc>
        <w:tc>
          <w:tcPr>
            <w:tcW w:w="3828" w:type="dxa"/>
            <w:tcBorders>
              <w:top w:val="single" w:color="000000" w:sz="2" w:space="0"/>
              <w:left w:val="single" w:color="000000" w:sz="2" w:space="0"/>
              <w:bottom w:val="single" w:color="000000" w:sz="2" w:space="0"/>
              <w:right w:val="single" w:color="000000" w:sz="2" w:space="0"/>
            </w:tcBorders>
            <w:vAlign w:val="center"/>
          </w:tcPr>
          <w:p w14:paraId="05278FBD">
            <w:pPr>
              <w:jc w:val="both"/>
              <w:rPr>
                <w:rFonts w:ascii="Arial" w:hAnsi="Arial" w:cs="Arial"/>
                <w:sz w:val="18"/>
                <w:szCs w:val="18"/>
              </w:rPr>
            </w:pPr>
            <w:r>
              <w:rPr>
                <w:rFonts w:ascii="Arial" w:hAnsi="Arial" w:cs="Arial"/>
                <w:sz w:val="18"/>
                <w:szCs w:val="18"/>
              </w:rPr>
              <w:t>Etomidato Dosagem: 2 MG/ML, Apresentação: Solução Injetável</w:t>
            </w:r>
          </w:p>
        </w:tc>
        <w:tc>
          <w:tcPr>
            <w:tcW w:w="1134" w:type="dxa"/>
            <w:tcBorders>
              <w:top w:val="single" w:color="000000" w:sz="2" w:space="0"/>
              <w:left w:val="single" w:color="000000" w:sz="2" w:space="0"/>
              <w:bottom w:val="single" w:color="000000" w:sz="2" w:space="0"/>
              <w:right w:val="single" w:color="000000" w:sz="2" w:space="0"/>
            </w:tcBorders>
            <w:vAlign w:val="center"/>
          </w:tcPr>
          <w:p w14:paraId="45E3B161">
            <w:pPr>
              <w:jc w:val="center"/>
              <w:rPr>
                <w:rFonts w:ascii="Arial" w:hAnsi="Arial"/>
                <w:sz w:val="18"/>
                <w:szCs w:val="18"/>
              </w:rPr>
            </w:pPr>
            <w:r>
              <w:rPr>
                <w:rFonts w:ascii="Arial" w:hAnsi="Arial"/>
                <w:sz w:val="18"/>
                <w:szCs w:val="18"/>
              </w:rPr>
              <w:t>Ampola 10 ML</w:t>
            </w:r>
          </w:p>
        </w:tc>
        <w:tc>
          <w:tcPr>
            <w:tcW w:w="992" w:type="dxa"/>
            <w:tcBorders>
              <w:top w:val="single" w:color="000000" w:sz="2" w:space="0"/>
              <w:left w:val="single" w:color="000000" w:sz="2" w:space="0"/>
              <w:bottom w:val="single" w:color="000000" w:sz="2" w:space="0"/>
              <w:right w:val="single" w:color="000000" w:sz="8" w:space="0"/>
            </w:tcBorders>
            <w:vAlign w:val="center"/>
          </w:tcPr>
          <w:p w14:paraId="3AFB7DDA">
            <w:pPr>
              <w:jc w:val="center"/>
              <w:rPr>
                <w:rFonts w:ascii="Arial" w:hAnsi="Arial"/>
                <w:sz w:val="18"/>
                <w:szCs w:val="18"/>
              </w:rPr>
            </w:pPr>
            <w:r>
              <w:rPr>
                <w:rFonts w:ascii="Arial" w:hAnsi="Arial"/>
                <w:sz w:val="18"/>
                <w:szCs w:val="18"/>
              </w:rPr>
              <w:t>50</w:t>
            </w:r>
          </w:p>
        </w:tc>
        <w:tc>
          <w:tcPr>
            <w:tcW w:w="1134" w:type="dxa"/>
            <w:tcBorders>
              <w:top w:val="single" w:color="000000" w:sz="2" w:space="0"/>
              <w:left w:val="single" w:color="000000" w:sz="2" w:space="0"/>
              <w:bottom w:val="single" w:color="000000" w:sz="2" w:space="0"/>
              <w:right w:val="single" w:color="000000" w:sz="8" w:space="0"/>
            </w:tcBorders>
          </w:tcPr>
          <w:p w14:paraId="0CE9C6E7">
            <w:pPr>
              <w:jc w:val="center"/>
              <w:rPr>
                <w:rFonts w:ascii="Arial" w:hAnsi="Arial" w:eastAsia="Times New Roman"/>
                <w:sz w:val="18"/>
                <w:szCs w:val="18"/>
              </w:rPr>
            </w:pPr>
          </w:p>
          <w:p w14:paraId="7F26A9E5">
            <w:pPr>
              <w:jc w:val="center"/>
              <w:rPr>
                <w:rFonts w:ascii="Arial" w:hAnsi="Arial" w:eastAsia="Times New Roman"/>
                <w:sz w:val="18"/>
                <w:szCs w:val="18"/>
              </w:rPr>
            </w:pPr>
            <w:r>
              <w:rPr>
                <w:rFonts w:ascii="Arial" w:hAnsi="Arial" w:eastAsia="Times New Roman"/>
                <w:sz w:val="18"/>
                <w:szCs w:val="18"/>
              </w:rPr>
              <w:t>R$ 20,94</w:t>
            </w:r>
          </w:p>
        </w:tc>
        <w:tc>
          <w:tcPr>
            <w:tcW w:w="1276" w:type="dxa"/>
            <w:tcBorders>
              <w:top w:val="single" w:color="000000" w:sz="2" w:space="0"/>
              <w:left w:val="single" w:color="000000" w:sz="2" w:space="0"/>
              <w:bottom w:val="single" w:color="000000" w:sz="2" w:space="0"/>
              <w:right w:val="single" w:color="000000" w:sz="8" w:space="0"/>
            </w:tcBorders>
          </w:tcPr>
          <w:p w14:paraId="23839456">
            <w:pPr>
              <w:jc w:val="center"/>
              <w:rPr>
                <w:rFonts w:ascii="Arial" w:hAnsi="Arial" w:eastAsia="Times New Roman"/>
                <w:sz w:val="18"/>
                <w:szCs w:val="18"/>
              </w:rPr>
            </w:pPr>
          </w:p>
          <w:p w14:paraId="5AC228FA">
            <w:pPr>
              <w:jc w:val="center"/>
              <w:rPr>
                <w:rFonts w:ascii="Arial" w:hAnsi="Arial" w:eastAsia="Times New Roman"/>
                <w:sz w:val="18"/>
                <w:szCs w:val="18"/>
              </w:rPr>
            </w:pPr>
            <w:r>
              <w:rPr>
                <w:rFonts w:ascii="Arial" w:hAnsi="Arial" w:eastAsia="Times New Roman"/>
                <w:sz w:val="18"/>
                <w:szCs w:val="18"/>
              </w:rPr>
              <w:t>R$ 1.047,00</w:t>
            </w:r>
          </w:p>
        </w:tc>
      </w:tr>
      <w:tr w14:paraId="2206B0FA">
        <w:tblPrEx>
          <w:tblCellMar>
            <w:top w:w="47" w:type="dxa"/>
            <w:left w:w="102" w:type="dxa"/>
            <w:bottom w:w="1" w:type="dxa"/>
            <w:right w:w="48" w:type="dxa"/>
          </w:tblCellMar>
        </w:tblPrEx>
        <w:trPr>
          <w:trHeight w:val="276" w:hRule="atLeast"/>
        </w:trPr>
        <w:tc>
          <w:tcPr>
            <w:tcW w:w="674" w:type="dxa"/>
            <w:tcBorders>
              <w:top w:val="nil"/>
              <w:left w:val="single" w:color="000000" w:sz="8" w:space="0"/>
              <w:bottom w:val="single" w:color="000000" w:sz="2" w:space="0"/>
              <w:right w:val="single" w:color="000000" w:sz="2" w:space="0"/>
            </w:tcBorders>
            <w:vAlign w:val="center"/>
          </w:tcPr>
          <w:p w14:paraId="08019B6D">
            <w:pPr>
              <w:ind w:right="64"/>
              <w:jc w:val="center"/>
              <w:rPr>
                <w:rFonts w:hint="eastAsia" w:ascii="Arial" w:hAnsi="Arial"/>
                <w:sz w:val="18"/>
                <w:szCs w:val="18"/>
              </w:rPr>
            </w:pPr>
            <w:r>
              <w:rPr>
                <w:rFonts w:ascii="Arial" w:hAnsi="Arial"/>
                <w:sz w:val="18"/>
                <w:szCs w:val="18"/>
              </w:rPr>
              <w:t>6</w:t>
            </w:r>
          </w:p>
        </w:tc>
        <w:tc>
          <w:tcPr>
            <w:tcW w:w="992" w:type="dxa"/>
            <w:tcBorders>
              <w:top w:val="nil"/>
              <w:left w:val="single" w:color="000000" w:sz="2" w:space="0"/>
              <w:bottom w:val="single" w:color="000000" w:sz="2" w:space="0"/>
              <w:right w:val="single" w:color="000000" w:sz="2" w:space="0"/>
            </w:tcBorders>
            <w:vAlign w:val="center"/>
          </w:tcPr>
          <w:p w14:paraId="63253704">
            <w:pPr>
              <w:jc w:val="center"/>
              <w:rPr>
                <w:rFonts w:ascii="Arial" w:hAnsi="Arial"/>
                <w:sz w:val="18"/>
                <w:szCs w:val="18"/>
              </w:rPr>
            </w:pPr>
            <w:r>
              <w:rPr>
                <w:rFonts w:ascii="Arial" w:hAnsi="Arial"/>
                <w:sz w:val="18"/>
                <w:szCs w:val="18"/>
              </w:rPr>
              <w:t>267107</w:t>
            </w:r>
          </w:p>
        </w:tc>
        <w:tc>
          <w:tcPr>
            <w:tcW w:w="3828" w:type="dxa"/>
            <w:tcBorders>
              <w:top w:val="nil"/>
              <w:left w:val="single" w:color="000000" w:sz="2" w:space="0"/>
              <w:bottom w:val="single" w:color="000000" w:sz="2" w:space="0"/>
              <w:right w:val="single" w:color="000000" w:sz="2" w:space="0"/>
            </w:tcBorders>
            <w:vAlign w:val="center"/>
          </w:tcPr>
          <w:p w14:paraId="3C44D7F1">
            <w:pPr>
              <w:jc w:val="both"/>
              <w:rPr>
                <w:rFonts w:ascii="Arial" w:hAnsi="Arial" w:cs="Arial"/>
                <w:sz w:val="18"/>
                <w:szCs w:val="18"/>
              </w:rPr>
            </w:pPr>
            <w:r>
              <w:rPr>
                <w:rFonts w:ascii="Arial" w:hAnsi="Arial" w:cs="Arial"/>
                <w:sz w:val="18"/>
                <w:szCs w:val="18"/>
              </w:rPr>
              <w:t>Fenitoína Sódica Dosagem: 50 MG/ML, Apresentação: Solução Injetável</w:t>
            </w:r>
          </w:p>
        </w:tc>
        <w:tc>
          <w:tcPr>
            <w:tcW w:w="1134" w:type="dxa"/>
            <w:tcBorders>
              <w:top w:val="nil"/>
              <w:left w:val="single" w:color="000000" w:sz="2" w:space="0"/>
              <w:bottom w:val="single" w:color="000000" w:sz="2" w:space="0"/>
              <w:right w:val="single" w:color="000000" w:sz="2" w:space="0"/>
            </w:tcBorders>
            <w:vAlign w:val="center"/>
          </w:tcPr>
          <w:p w14:paraId="3BCD3995">
            <w:pPr>
              <w:jc w:val="center"/>
              <w:rPr>
                <w:rFonts w:ascii="Arial" w:hAnsi="Arial"/>
                <w:sz w:val="18"/>
                <w:szCs w:val="18"/>
              </w:rPr>
            </w:pPr>
            <w:r>
              <w:rPr>
                <w:rFonts w:ascii="Arial" w:hAnsi="Arial"/>
                <w:sz w:val="18"/>
                <w:szCs w:val="18"/>
              </w:rPr>
              <w:t>Ampola 5 ML</w:t>
            </w:r>
          </w:p>
        </w:tc>
        <w:tc>
          <w:tcPr>
            <w:tcW w:w="992" w:type="dxa"/>
            <w:tcBorders>
              <w:top w:val="nil"/>
              <w:left w:val="single" w:color="000000" w:sz="2" w:space="0"/>
              <w:bottom w:val="single" w:color="000000" w:sz="2" w:space="0"/>
              <w:right w:val="single" w:color="000000" w:sz="8" w:space="0"/>
            </w:tcBorders>
            <w:vAlign w:val="center"/>
          </w:tcPr>
          <w:p w14:paraId="4148B5D9">
            <w:pPr>
              <w:jc w:val="center"/>
              <w:rPr>
                <w:rFonts w:ascii="Arial" w:hAnsi="Arial"/>
                <w:sz w:val="18"/>
                <w:szCs w:val="18"/>
              </w:rPr>
            </w:pPr>
            <w:r>
              <w:rPr>
                <w:rFonts w:ascii="Arial" w:hAnsi="Arial"/>
                <w:sz w:val="18"/>
                <w:szCs w:val="18"/>
              </w:rPr>
              <w:t>50</w:t>
            </w:r>
          </w:p>
        </w:tc>
        <w:tc>
          <w:tcPr>
            <w:tcW w:w="1134" w:type="dxa"/>
            <w:tcBorders>
              <w:top w:val="nil"/>
              <w:left w:val="single" w:color="000000" w:sz="2" w:space="0"/>
              <w:bottom w:val="single" w:color="000000" w:sz="2" w:space="0"/>
              <w:right w:val="single" w:color="000000" w:sz="8" w:space="0"/>
            </w:tcBorders>
          </w:tcPr>
          <w:p w14:paraId="4E247ACD">
            <w:pPr>
              <w:jc w:val="center"/>
              <w:rPr>
                <w:rFonts w:ascii="Arial" w:hAnsi="Arial" w:eastAsia="Times New Roman"/>
                <w:sz w:val="18"/>
                <w:szCs w:val="18"/>
              </w:rPr>
            </w:pPr>
          </w:p>
          <w:p w14:paraId="20D35A7D">
            <w:pPr>
              <w:jc w:val="center"/>
              <w:rPr>
                <w:rFonts w:ascii="Arial" w:hAnsi="Arial" w:eastAsia="Times New Roman"/>
                <w:sz w:val="18"/>
                <w:szCs w:val="18"/>
              </w:rPr>
            </w:pPr>
            <w:r>
              <w:rPr>
                <w:rFonts w:ascii="Arial" w:hAnsi="Arial" w:eastAsia="Times New Roman"/>
                <w:sz w:val="18"/>
                <w:szCs w:val="18"/>
              </w:rPr>
              <w:t>R$ 5,14</w:t>
            </w:r>
          </w:p>
        </w:tc>
        <w:tc>
          <w:tcPr>
            <w:tcW w:w="1276" w:type="dxa"/>
            <w:tcBorders>
              <w:top w:val="nil"/>
              <w:left w:val="single" w:color="000000" w:sz="2" w:space="0"/>
              <w:bottom w:val="single" w:color="000000" w:sz="2" w:space="0"/>
              <w:right w:val="single" w:color="000000" w:sz="8" w:space="0"/>
            </w:tcBorders>
          </w:tcPr>
          <w:p w14:paraId="750D4061">
            <w:pPr>
              <w:jc w:val="center"/>
              <w:rPr>
                <w:rFonts w:ascii="Arial" w:hAnsi="Arial" w:eastAsia="Times New Roman"/>
                <w:sz w:val="18"/>
                <w:szCs w:val="18"/>
              </w:rPr>
            </w:pPr>
          </w:p>
          <w:p w14:paraId="3B5027BB">
            <w:pPr>
              <w:jc w:val="center"/>
              <w:rPr>
                <w:rFonts w:ascii="Arial" w:hAnsi="Arial" w:eastAsia="Times New Roman"/>
                <w:sz w:val="18"/>
                <w:szCs w:val="18"/>
              </w:rPr>
            </w:pPr>
            <w:r>
              <w:rPr>
                <w:rFonts w:ascii="Arial" w:hAnsi="Arial" w:eastAsia="Times New Roman"/>
                <w:sz w:val="18"/>
                <w:szCs w:val="18"/>
              </w:rPr>
              <w:t>R$ 257,00</w:t>
            </w:r>
          </w:p>
        </w:tc>
      </w:tr>
      <w:tr w14:paraId="0F259C7A">
        <w:tblPrEx>
          <w:tblCellMar>
            <w:top w:w="47" w:type="dxa"/>
            <w:left w:w="102" w:type="dxa"/>
            <w:bottom w:w="1" w:type="dxa"/>
            <w:right w:w="48" w:type="dxa"/>
          </w:tblCellMar>
        </w:tblPrEx>
        <w:trPr>
          <w:trHeight w:val="276" w:hRule="atLeast"/>
        </w:trPr>
        <w:tc>
          <w:tcPr>
            <w:tcW w:w="674" w:type="dxa"/>
            <w:tcBorders>
              <w:top w:val="nil"/>
              <w:left w:val="single" w:color="000000" w:sz="8" w:space="0"/>
              <w:bottom w:val="single" w:color="000000" w:sz="2" w:space="0"/>
              <w:right w:val="single" w:color="000000" w:sz="2" w:space="0"/>
            </w:tcBorders>
            <w:vAlign w:val="center"/>
          </w:tcPr>
          <w:p w14:paraId="2ED2B46B">
            <w:pPr>
              <w:ind w:right="64"/>
              <w:jc w:val="center"/>
              <w:rPr>
                <w:rFonts w:hint="eastAsia" w:ascii="Arial" w:hAnsi="Arial"/>
                <w:sz w:val="18"/>
                <w:szCs w:val="18"/>
              </w:rPr>
            </w:pPr>
            <w:r>
              <w:rPr>
                <w:rFonts w:ascii="Arial" w:hAnsi="Arial"/>
                <w:sz w:val="18"/>
                <w:szCs w:val="18"/>
              </w:rPr>
              <w:t>7</w:t>
            </w:r>
          </w:p>
        </w:tc>
        <w:tc>
          <w:tcPr>
            <w:tcW w:w="992" w:type="dxa"/>
            <w:tcBorders>
              <w:top w:val="nil"/>
              <w:left w:val="single" w:color="000000" w:sz="2" w:space="0"/>
              <w:bottom w:val="single" w:color="000000" w:sz="2" w:space="0"/>
              <w:right w:val="single" w:color="000000" w:sz="2" w:space="0"/>
            </w:tcBorders>
            <w:vAlign w:val="center"/>
          </w:tcPr>
          <w:p w14:paraId="22F4227C">
            <w:pPr>
              <w:jc w:val="center"/>
              <w:rPr>
                <w:rFonts w:ascii="Arial" w:hAnsi="Arial"/>
                <w:sz w:val="18"/>
                <w:szCs w:val="18"/>
              </w:rPr>
            </w:pPr>
            <w:r>
              <w:rPr>
                <w:rFonts w:ascii="Arial" w:hAnsi="Arial"/>
                <w:sz w:val="18"/>
                <w:szCs w:val="18"/>
              </w:rPr>
              <w:t>300725</w:t>
            </w:r>
          </w:p>
        </w:tc>
        <w:tc>
          <w:tcPr>
            <w:tcW w:w="3828" w:type="dxa"/>
            <w:tcBorders>
              <w:top w:val="nil"/>
              <w:left w:val="single" w:color="000000" w:sz="2" w:space="0"/>
              <w:bottom w:val="single" w:color="000000" w:sz="2" w:space="0"/>
              <w:right w:val="single" w:color="000000" w:sz="2" w:space="0"/>
            </w:tcBorders>
            <w:vAlign w:val="center"/>
          </w:tcPr>
          <w:p w14:paraId="43A513F0">
            <w:pPr>
              <w:jc w:val="both"/>
              <w:rPr>
                <w:rFonts w:ascii="Arial" w:hAnsi="Arial" w:cs="Arial"/>
                <w:sz w:val="18"/>
                <w:szCs w:val="18"/>
              </w:rPr>
            </w:pPr>
            <w:r>
              <w:rPr>
                <w:rFonts w:ascii="Arial" w:hAnsi="Arial" w:cs="Arial"/>
                <w:sz w:val="18"/>
                <w:szCs w:val="18"/>
              </w:rPr>
              <w:t>Fenobarbital Sódico Dosagem: 100 MG/ML, Forma Farmacêutica: Solução Injetável</w:t>
            </w:r>
          </w:p>
        </w:tc>
        <w:tc>
          <w:tcPr>
            <w:tcW w:w="1134" w:type="dxa"/>
            <w:tcBorders>
              <w:top w:val="nil"/>
              <w:left w:val="single" w:color="000000" w:sz="2" w:space="0"/>
              <w:bottom w:val="single" w:color="000000" w:sz="2" w:space="0"/>
              <w:right w:val="single" w:color="000000" w:sz="2" w:space="0"/>
            </w:tcBorders>
            <w:vAlign w:val="center"/>
          </w:tcPr>
          <w:p w14:paraId="36009ADA">
            <w:pPr>
              <w:jc w:val="center"/>
              <w:rPr>
                <w:rFonts w:ascii="Arial" w:hAnsi="Arial"/>
                <w:sz w:val="18"/>
                <w:szCs w:val="18"/>
              </w:rPr>
            </w:pPr>
            <w:r>
              <w:rPr>
                <w:rFonts w:ascii="Arial" w:hAnsi="Arial"/>
                <w:sz w:val="18"/>
                <w:szCs w:val="18"/>
              </w:rPr>
              <w:t>Ampola 2 ML</w:t>
            </w:r>
          </w:p>
        </w:tc>
        <w:tc>
          <w:tcPr>
            <w:tcW w:w="992" w:type="dxa"/>
            <w:tcBorders>
              <w:top w:val="nil"/>
              <w:left w:val="single" w:color="000000" w:sz="2" w:space="0"/>
              <w:bottom w:val="single" w:color="000000" w:sz="2" w:space="0"/>
              <w:right w:val="single" w:color="000000" w:sz="8" w:space="0"/>
            </w:tcBorders>
            <w:vAlign w:val="center"/>
          </w:tcPr>
          <w:p w14:paraId="7C907166">
            <w:pPr>
              <w:jc w:val="center"/>
              <w:rPr>
                <w:rFonts w:ascii="Arial" w:hAnsi="Arial"/>
                <w:sz w:val="18"/>
                <w:szCs w:val="18"/>
              </w:rPr>
            </w:pPr>
            <w:r>
              <w:rPr>
                <w:rFonts w:ascii="Arial" w:hAnsi="Arial"/>
                <w:sz w:val="18"/>
                <w:szCs w:val="18"/>
              </w:rPr>
              <w:t>25</w:t>
            </w:r>
          </w:p>
        </w:tc>
        <w:tc>
          <w:tcPr>
            <w:tcW w:w="1134" w:type="dxa"/>
            <w:tcBorders>
              <w:top w:val="nil"/>
              <w:left w:val="single" w:color="000000" w:sz="2" w:space="0"/>
              <w:bottom w:val="single" w:color="000000" w:sz="2" w:space="0"/>
              <w:right w:val="single" w:color="000000" w:sz="8" w:space="0"/>
            </w:tcBorders>
          </w:tcPr>
          <w:p w14:paraId="3C046FB7">
            <w:pPr>
              <w:jc w:val="center"/>
              <w:rPr>
                <w:rFonts w:ascii="Arial" w:hAnsi="Arial" w:eastAsia="Times New Roman"/>
                <w:sz w:val="18"/>
                <w:szCs w:val="18"/>
              </w:rPr>
            </w:pPr>
          </w:p>
          <w:p w14:paraId="32696F53">
            <w:pPr>
              <w:jc w:val="center"/>
              <w:rPr>
                <w:rFonts w:ascii="Arial" w:hAnsi="Arial" w:eastAsia="Times New Roman"/>
                <w:sz w:val="18"/>
                <w:szCs w:val="18"/>
              </w:rPr>
            </w:pPr>
            <w:r>
              <w:rPr>
                <w:rFonts w:ascii="Arial" w:hAnsi="Arial" w:eastAsia="Times New Roman"/>
                <w:sz w:val="18"/>
                <w:szCs w:val="18"/>
              </w:rPr>
              <w:t>R$ 4,61</w:t>
            </w:r>
          </w:p>
        </w:tc>
        <w:tc>
          <w:tcPr>
            <w:tcW w:w="1276" w:type="dxa"/>
            <w:tcBorders>
              <w:top w:val="nil"/>
              <w:left w:val="single" w:color="000000" w:sz="2" w:space="0"/>
              <w:bottom w:val="single" w:color="000000" w:sz="2" w:space="0"/>
              <w:right w:val="single" w:color="000000" w:sz="8" w:space="0"/>
            </w:tcBorders>
          </w:tcPr>
          <w:p w14:paraId="12ECD2C5">
            <w:pPr>
              <w:jc w:val="center"/>
              <w:rPr>
                <w:rFonts w:ascii="Arial" w:hAnsi="Arial" w:eastAsia="Times New Roman"/>
                <w:sz w:val="18"/>
                <w:szCs w:val="18"/>
              </w:rPr>
            </w:pPr>
          </w:p>
          <w:p w14:paraId="5F1ECFF2">
            <w:pPr>
              <w:jc w:val="center"/>
              <w:rPr>
                <w:rFonts w:ascii="Arial" w:hAnsi="Arial" w:eastAsia="Times New Roman"/>
                <w:sz w:val="18"/>
                <w:szCs w:val="18"/>
              </w:rPr>
            </w:pPr>
            <w:r>
              <w:rPr>
                <w:rFonts w:ascii="Arial" w:hAnsi="Arial" w:eastAsia="Times New Roman"/>
                <w:sz w:val="18"/>
                <w:szCs w:val="18"/>
              </w:rPr>
              <w:t>R$ 115,25</w:t>
            </w:r>
          </w:p>
        </w:tc>
      </w:tr>
      <w:tr w14:paraId="77911D07">
        <w:tblPrEx>
          <w:tblCellMar>
            <w:top w:w="47" w:type="dxa"/>
            <w:left w:w="102" w:type="dxa"/>
            <w:bottom w:w="1" w:type="dxa"/>
            <w:right w:w="48" w:type="dxa"/>
          </w:tblCellMar>
        </w:tblPrEx>
        <w:trPr>
          <w:trHeight w:val="276" w:hRule="atLeast"/>
        </w:trPr>
        <w:tc>
          <w:tcPr>
            <w:tcW w:w="674" w:type="dxa"/>
            <w:tcBorders>
              <w:top w:val="nil"/>
              <w:left w:val="single" w:color="000000" w:sz="8" w:space="0"/>
              <w:bottom w:val="single" w:color="000000" w:sz="2" w:space="0"/>
              <w:right w:val="single" w:color="000000" w:sz="2" w:space="0"/>
            </w:tcBorders>
            <w:vAlign w:val="center"/>
          </w:tcPr>
          <w:p w14:paraId="7CA153FA">
            <w:pPr>
              <w:ind w:right="64"/>
              <w:jc w:val="center"/>
              <w:rPr>
                <w:rFonts w:hint="eastAsia" w:ascii="Arial" w:hAnsi="Arial"/>
                <w:sz w:val="18"/>
                <w:szCs w:val="18"/>
              </w:rPr>
            </w:pPr>
            <w:r>
              <w:rPr>
                <w:rFonts w:ascii="Arial" w:hAnsi="Arial"/>
                <w:sz w:val="18"/>
                <w:szCs w:val="18"/>
              </w:rPr>
              <w:t>8</w:t>
            </w:r>
          </w:p>
        </w:tc>
        <w:tc>
          <w:tcPr>
            <w:tcW w:w="992" w:type="dxa"/>
            <w:tcBorders>
              <w:top w:val="nil"/>
              <w:left w:val="single" w:color="000000" w:sz="2" w:space="0"/>
              <w:bottom w:val="single" w:color="000000" w:sz="2" w:space="0"/>
              <w:right w:val="single" w:color="000000" w:sz="2" w:space="0"/>
            </w:tcBorders>
            <w:vAlign w:val="center"/>
          </w:tcPr>
          <w:p w14:paraId="210A2E8E">
            <w:pPr>
              <w:jc w:val="center"/>
              <w:rPr>
                <w:rFonts w:ascii="Arial" w:hAnsi="Arial"/>
                <w:sz w:val="18"/>
                <w:szCs w:val="18"/>
              </w:rPr>
            </w:pPr>
            <w:r>
              <w:rPr>
                <w:rFonts w:ascii="Arial" w:hAnsi="Arial"/>
                <w:sz w:val="18"/>
                <w:szCs w:val="18"/>
              </w:rPr>
              <w:t>271950</w:t>
            </w:r>
          </w:p>
        </w:tc>
        <w:tc>
          <w:tcPr>
            <w:tcW w:w="3828" w:type="dxa"/>
            <w:tcBorders>
              <w:top w:val="nil"/>
              <w:left w:val="single" w:color="000000" w:sz="2" w:space="0"/>
              <w:bottom w:val="single" w:color="000000" w:sz="2" w:space="0"/>
              <w:right w:val="single" w:color="000000" w:sz="2" w:space="0"/>
            </w:tcBorders>
            <w:vAlign w:val="center"/>
          </w:tcPr>
          <w:p w14:paraId="37BEA7E9">
            <w:pPr>
              <w:jc w:val="both"/>
              <w:rPr>
                <w:rFonts w:ascii="Arial" w:hAnsi="Arial" w:cs="Arial"/>
                <w:sz w:val="18"/>
                <w:szCs w:val="18"/>
              </w:rPr>
            </w:pPr>
            <w:r>
              <w:rPr>
                <w:rFonts w:ascii="Arial" w:hAnsi="Arial" w:cs="Arial"/>
                <w:sz w:val="18"/>
                <w:szCs w:val="18"/>
              </w:rPr>
              <w:t>Fentanila Apresentação: Sal Citrato, Dosagem: 0,05 MG/ML, Indicação: Solução Injetável</w:t>
            </w:r>
          </w:p>
        </w:tc>
        <w:tc>
          <w:tcPr>
            <w:tcW w:w="1134" w:type="dxa"/>
            <w:tcBorders>
              <w:top w:val="nil"/>
              <w:left w:val="single" w:color="000000" w:sz="2" w:space="0"/>
              <w:bottom w:val="single" w:color="000000" w:sz="2" w:space="0"/>
              <w:right w:val="single" w:color="000000" w:sz="2" w:space="0"/>
            </w:tcBorders>
            <w:vAlign w:val="center"/>
          </w:tcPr>
          <w:p w14:paraId="4DA22E44">
            <w:pPr>
              <w:jc w:val="center"/>
              <w:rPr>
                <w:rFonts w:ascii="Arial" w:hAnsi="Arial"/>
                <w:sz w:val="18"/>
                <w:szCs w:val="18"/>
              </w:rPr>
            </w:pPr>
            <w:r>
              <w:rPr>
                <w:rFonts w:ascii="Arial" w:hAnsi="Arial"/>
                <w:sz w:val="18"/>
                <w:szCs w:val="18"/>
              </w:rPr>
              <w:t>Ampola 2 ML</w:t>
            </w:r>
          </w:p>
        </w:tc>
        <w:tc>
          <w:tcPr>
            <w:tcW w:w="992" w:type="dxa"/>
            <w:tcBorders>
              <w:top w:val="nil"/>
              <w:left w:val="single" w:color="000000" w:sz="2" w:space="0"/>
              <w:bottom w:val="single" w:color="000000" w:sz="2" w:space="0"/>
              <w:right w:val="single" w:color="000000" w:sz="8" w:space="0"/>
            </w:tcBorders>
            <w:vAlign w:val="center"/>
          </w:tcPr>
          <w:p w14:paraId="157BFDA3">
            <w:pPr>
              <w:jc w:val="center"/>
              <w:rPr>
                <w:rFonts w:ascii="Arial" w:hAnsi="Arial"/>
                <w:sz w:val="18"/>
                <w:szCs w:val="18"/>
              </w:rPr>
            </w:pPr>
            <w:r>
              <w:rPr>
                <w:rFonts w:ascii="Arial" w:hAnsi="Arial"/>
                <w:sz w:val="18"/>
                <w:szCs w:val="18"/>
              </w:rPr>
              <w:t>1500</w:t>
            </w:r>
          </w:p>
        </w:tc>
        <w:tc>
          <w:tcPr>
            <w:tcW w:w="1134" w:type="dxa"/>
            <w:tcBorders>
              <w:top w:val="nil"/>
              <w:left w:val="single" w:color="000000" w:sz="2" w:space="0"/>
              <w:bottom w:val="single" w:color="000000" w:sz="2" w:space="0"/>
              <w:right w:val="single" w:color="000000" w:sz="8" w:space="0"/>
            </w:tcBorders>
          </w:tcPr>
          <w:p w14:paraId="242474D9">
            <w:pPr>
              <w:jc w:val="center"/>
              <w:rPr>
                <w:rFonts w:ascii="Arial" w:hAnsi="Arial" w:eastAsia="Times New Roman"/>
                <w:sz w:val="18"/>
                <w:szCs w:val="18"/>
              </w:rPr>
            </w:pPr>
          </w:p>
          <w:p w14:paraId="647AB2EF">
            <w:pPr>
              <w:jc w:val="center"/>
              <w:rPr>
                <w:rFonts w:ascii="Arial" w:hAnsi="Arial" w:eastAsia="Times New Roman"/>
                <w:sz w:val="18"/>
                <w:szCs w:val="18"/>
              </w:rPr>
            </w:pPr>
            <w:r>
              <w:rPr>
                <w:rFonts w:ascii="Arial" w:hAnsi="Arial" w:eastAsia="Times New Roman"/>
                <w:sz w:val="18"/>
                <w:szCs w:val="18"/>
              </w:rPr>
              <w:t>R$ 5,21</w:t>
            </w:r>
          </w:p>
        </w:tc>
        <w:tc>
          <w:tcPr>
            <w:tcW w:w="1276" w:type="dxa"/>
            <w:tcBorders>
              <w:top w:val="nil"/>
              <w:left w:val="single" w:color="000000" w:sz="2" w:space="0"/>
              <w:bottom w:val="single" w:color="000000" w:sz="2" w:space="0"/>
              <w:right w:val="single" w:color="000000" w:sz="8" w:space="0"/>
            </w:tcBorders>
          </w:tcPr>
          <w:p w14:paraId="0CE11A55">
            <w:pPr>
              <w:jc w:val="center"/>
              <w:rPr>
                <w:rFonts w:ascii="Arial" w:hAnsi="Arial" w:eastAsia="Times New Roman"/>
                <w:sz w:val="18"/>
                <w:szCs w:val="18"/>
              </w:rPr>
            </w:pPr>
          </w:p>
          <w:p w14:paraId="0BC44A37">
            <w:pPr>
              <w:jc w:val="center"/>
              <w:rPr>
                <w:rFonts w:ascii="Arial" w:hAnsi="Arial" w:eastAsia="Times New Roman"/>
                <w:sz w:val="18"/>
                <w:szCs w:val="18"/>
              </w:rPr>
            </w:pPr>
            <w:r>
              <w:rPr>
                <w:rFonts w:ascii="Arial" w:hAnsi="Arial" w:eastAsia="Times New Roman"/>
                <w:sz w:val="18"/>
                <w:szCs w:val="18"/>
              </w:rPr>
              <w:t>R$ 7.815,00</w:t>
            </w:r>
          </w:p>
        </w:tc>
      </w:tr>
      <w:tr w14:paraId="3F57BF95">
        <w:tblPrEx>
          <w:tblCellMar>
            <w:top w:w="47" w:type="dxa"/>
            <w:left w:w="102" w:type="dxa"/>
            <w:bottom w:w="1" w:type="dxa"/>
            <w:right w:w="48" w:type="dxa"/>
          </w:tblCellMar>
        </w:tblPrEx>
        <w:trPr>
          <w:trHeight w:val="276" w:hRule="atLeast"/>
        </w:trPr>
        <w:tc>
          <w:tcPr>
            <w:tcW w:w="674" w:type="dxa"/>
            <w:tcBorders>
              <w:top w:val="nil"/>
              <w:left w:val="single" w:color="000000" w:sz="8" w:space="0"/>
              <w:bottom w:val="single" w:color="000000" w:sz="2" w:space="0"/>
              <w:right w:val="single" w:color="000000" w:sz="2" w:space="0"/>
            </w:tcBorders>
            <w:vAlign w:val="center"/>
          </w:tcPr>
          <w:p w14:paraId="26ECD99A">
            <w:pPr>
              <w:ind w:right="64"/>
              <w:jc w:val="center"/>
              <w:rPr>
                <w:rFonts w:hint="eastAsia" w:ascii="Arial" w:hAnsi="Arial"/>
                <w:sz w:val="18"/>
                <w:szCs w:val="18"/>
              </w:rPr>
            </w:pPr>
            <w:r>
              <w:rPr>
                <w:rFonts w:ascii="Arial" w:hAnsi="Arial"/>
                <w:sz w:val="18"/>
                <w:szCs w:val="18"/>
              </w:rPr>
              <w:t>9</w:t>
            </w:r>
          </w:p>
        </w:tc>
        <w:tc>
          <w:tcPr>
            <w:tcW w:w="992" w:type="dxa"/>
            <w:tcBorders>
              <w:top w:val="nil"/>
              <w:left w:val="single" w:color="000000" w:sz="2" w:space="0"/>
              <w:bottom w:val="single" w:color="000000" w:sz="2" w:space="0"/>
              <w:right w:val="single" w:color="000000" w:sz="2" w:space="0"/>
            </w:tcBorders>
            <w:vAlign w:val="center"/>
          </w:tcPr>
          <w:p w14:paraId="280E3998">
            <w:pPr>
              <w:jc w:val="center"/>
              <w:rPr>
                <w:rFonts w:ascii="Arial" w:hAnsi="Arial"/>
                <w:sz w:val="18"/>
                <w:szCs w:val="18"/>
              </w:rPr>
            </w:pPr>
            <w:r>
              <w:rPr>
                <w:rFonts w:ascii="Arial" w:hAnsi="Arial"/>
                <w:sz w:val="18"/>
                <w:szCs w:val="18"/>
              </w:rPr>
              <w:t>271950</w:t>
            </w:r>
          </w:p>
        </w:tc>
        <w:tc>
          <w:tcPr>
            <w:tcW w:w="3828" w:type="dxa"/>
            <w:tcBorders>
              <w:top w:val="nil"/>
              <w:left w:val="single" w:color="000000" w:sz="2" w:space="0"/>
              <w:bottom w:val="single" w:color="000000" w:sz="2" w:space="0"/>
              <w:right w:val="single" w:color="000000" w:sz="2" w:space="0"/>
            </w:tcBorders>
            <w:vAlign w:val="center"/>
          </w:tcPr>
          <w:p w14:paraId="51FE9C56">
            <w:pPr>
              <w:jc w:val="both"/>
              <w:rPr>
                <w:rFonts w:ascii="Arial" w:hAnsi="Arial" w:cs="Arial"/>
                <w:sz w:val="18"/>
                <w:szCs w:val="18"/>
              </w:rPr>
            </w:pPr>
            <w:r>
              <w:rPr>
                <w:rFonts w:ascii="Arial" w:hAnsi="Arial" w:cs="Arial"/>
                <w:sz w:val="18"/>
                <w:szCs w:val="18"/>
              </w:rPr>
              <w:t>Fentanila Apresentação: Sal Citrato, Dosagem: 0,05 MG/ML, Indicação: Solução Injetável</w:t>
            </w:r>
          </w:p>
        </w:tc>
        <w:tc>
          <w:tcPr>
            <w:tcW w:w="1134" w:type="dxa"/>
            <w:tcBorders>
              <w:top w:val="nil"/>
              <w:left w:val="single" w:color="000000" w:sz="2" w:space="0"/>
              <w:bottom w:val="single" w:color="000000" w:sz="2" w:space="0"/>
              <w:right w:val="single" w:color="000000" w:sz="2" w:space="0"/>
            </w:tcBorders>
            <w:vAlign w:val="center"/>
          </w:tcPr>
          <w:p w14:paraId="34B2D2B4">
            <w:pPr>
              <w:jc w:val="center"/>
              <w:rPr>
                <w:rFonts w:ascii="Arial" w:hAnsi="Arial"/>
                <w:sz w:val="18"/>
                <w:szCs w:val="18"/>
              </w:rPr>
            </w:pPr>
            <w:r>
              <w:rPr>
                <w:rFonts w:ascii="Arial" w:hAnsi="Arial"/>
                <w:sz w:val="18"/>
                <w:szCs w:val="18"/>
              </w:rPr>
              <w:t>Ampola 10 ML</w:t>
            </w:r>
          </w:p>
        </w:tc>
        <w:tc>
          <w:tcPr>
            <w:tcW w:w="992" w:type="dxa"/>
            <w:tcBorders>
              <w:top w:val="nil"/>
              <w:left w:val="single" w:color="000000" w:sz="2" w:space="0"/>
              <w:bottom w:val="single" w:color="000000" w:sz="2" w:space="0"/>
              <w:right w:val="single" w:color="000000" w:sz="8" w:space="0"/>
            </w:tcBorders>
            <w:vAlign w:val="center"/>
          </w:tcPr>
          <w:p w14:paraId="68343D1A">
            <w:pPr>
              <w:jc w:val="center"/>
              <w:rPr>
                <w:rFonts w:ascii="Arial" w:hAnsi="Arial"/>
                <w:sz w:val="18"/>
                <w:szCs w:val="18"/>
              </w:rPr>
            </w:pPr>
            <w:r>
              <w:rPr>
                <w:rFonts w:ascii="Arial" w:hAnsi="Arial"/>
                <w:sz w:val="18"/>
                <w:szCs w:val="18"/>
              </w:rPr>
              <w:t>500</w:t>
            </w:r>
          </w:p>
        </w:tc>
        <w:tc>
          <w:tcPr>
            <w:tcW w:w="1134" w:type="dxa"/>
            <w:tcBorders>
              <w:top w:val="nil"/>
              <w:left w:val="single" w:color="000000" w:sz="2" w:space="0"/>
              <w:bottom w:val="single" w:color="000000" w:sz="2" w:space="0"/>
              <w:right w:val="single" w:color="000000" w:sz="8" w:space="0"/>
            </w:tcBorders>
          </w:tcPr>
          <w:p w14:paraId="3B4E11C0">
            <w:pPr>
              <w:jc w:val="center"/>
              <w:rPr>
                <w:rFonts w:ascii="Arial" w:hAnsi="Arial" w:eastAsia="Times New Roman"/>
                <w:sz w:val="18"/>
                <w:szCs w:val="18"/>
              </w:rPr>
            </w:pPr>
          </w:p>
          <w:p w14:paraId="02B81B19">
            <w:pPr>
              <w:jc w:val="center"/>
              <w:rPr>
                <w:rFonts w:ascii="Arial" w:hAnsi="Arial" w:eastAsia="Times New Roman"/>
                <w:sz w:val="18"/>
                <w:szCs w:val="18"/>
              </w:rPr>
            </w:pPr>
            <w:r>
              <w:rPr>
                <w:rFonts w:ascii="Arial" w:hAnsi="Arial" w:eastAsia="Times New Roman"/>
                <w:sz w:val="18"/>
                <w:szCs w:val="18"/>
              </w:rPr>
              <w:t>R$ 4,97</w:t>
            </w:r>
          </w:p>
        </w:tc>
        <w:tc>
          <w:tcPr>
            <w:tcW w:w="1276" w:type="dxa"/>
            <w:tcBorders>
              <w:top w:val="nil"/>
              <w:left w:val="single" w:color="000000" w:sz="2" w:space="0"/>
              <w:bottom w:val="single" w:color="000000" w:sz="2" w:space="0"/>
              <w:right w:val="single" w:color="000000" w:sz="8" w:space="0"/>
            </w:tcBorders>
          </w:tcPr>
          <w:p w14:paraId="30AA8E4C">
            <w:pPr>
              <w:jc w:val="center"/>
              <w:rPr>
                <w:rFonts w:ascii="Arial" w:hAnsi="Arial" w:eastAsia="Times New Roman"/>
                <w:sz w:val="18"/>
                <w:szCs w:val="18"/>
              </w:rPr>
            </w:pPr>
          </w:p>
          <w:p w14:paraId="45F75EA1">
            <w:pPr>
              <w:jc w:val="center"/>
              <w:rPr>
                <w:rFonts w:ascii="Arial" w:hAnsi="Arial" w:eastAsia="Times New Roman"/>
                <w:sz w:val="18"/>
                <w:szCs w:val="18"/>
              </w:rPr>
            </w:pPr>
            <w:r>
              <w:rPr>
                <w:rFonts w:ascii="Arial" w:hAnsi="Arial" w:eastAsia="Times New Roman"/>
                <w:sz w:val="18"/>
                <w:szCs w:val="18"/>
              </w:rPr>
              <w:t>R$ 2.485,00</w:t>
            </w:r>
          </w:p>
        </w:tc>
      </w:tr>
      <w:tr w14:paraId="55417706">
        <w:tblPrEx>
          <w:tblCellMar>
            <w:top w:w="47" w:type="dxa"/>
            <w:left w:w="102" w:type="dxa"/>
            <w:bottom w:w="1" w:type="dxa"/>
            <w:right w:w="48" w:type="dxa"/>
          </w:tblCellMar>
        </w:tblPrEx>
        <w:trPr>
          <w:trHeight w:val="276" w:hRule="atLeast"/>
        </w:trPr>
        <w:tc>
          <w:tcPr>
            <w:tcW w:w="674" w:type="dxa"/>
            <w:tcBorders>
              <w:top w:val="nil"/>
              <w:left w:val="single" w:color="000000" w:sz="8" w:space="0"/>
              <w:bottom w:val="single" w:color="000000" w:sz="2" w:space="0"/>
              <w:right w:val="single" w:color="000000" w:sz="2" w:space="0"/>
            </w:tcBorders>
            <w:vAlign w:val="center"/>
          </w:tcPr>
          <w:p w14:paraId="30B1ACF9">
            <w:pPr>
              <w:ind w:right="64"/>
              <w:jc w:val="center"/>
              <w:rPr>
                <w:rFonts w:hint="eastAsia" w:ascii="Arial" w:hAnsi="Arial"/>
                <w:sz w:val="18"/>
                <w:szCs w:val="18"/>
              </w:rPr>
            </w:pPr>
            <w:r>
              <w:rPr>
                <w:rFonts w:ascii="Arial" w:hAnsi="Arial"/>
                <w:sz w:val="18"/>
                <w:szCs w:val="18"/>
              </w:rPr>
              <w:t>10</w:t>
            </w:r>
          </w:p>
        </w:tc>
        <w:tc>
          <w:tcPr>
            <w:tcW w:w="992" w:type="dxa"/>
            <w:tcBorders>
              <w:top w:val="nil"/>
              <w:left w:val="single" w:color="000000" w:sz="2" w:space="0"/>
              <w:bottom w:val="single" w:color="000000" w:sz="2" w:space="0"/>
              <w:right w:val="single" w:color="000000" w:sz="2" w:space="0"/>
            </w:tcBorders>
            <w:vAlign w:val="center"/>
          </w:tcPr>
          <w:p w14:paraId="43B44734">
            <w:pPr>
              <w:jc w:val="center"/>
              <w:rPr>
                <w:rFonts w:ascii="Arial" w:hAnsi="Arial"/>
                <w:sz w:val="18"/>
                <w:szCs w:val="18"/>
              </w:rPr>
            </w:pPr>
            <w:r>
              <w:rPr>
                <w:rFonts w:ascii="Arial" w:hAnsi="Arial"/>
                <w:sz w:val="18"/>
                <w:szCs w:val="18"/>
              </w:rPr>
              <w:t>268510</w:t>
            </w:r>
          </w:p>
        </w:tc>
        <w:tc>
          <w:tcPr>
            <w:tcW w:w="3828" w:type="dxa"/>
            <w:tcBorders>
              <w:top w:val="nil"/>
              <w:left w:val="single" w:color="000000" w:sz="2" w:space="0"/>
              <w:bottom w:val="single" w:color="000000" w:sz="2" w:space="0"/>
              <w:right w:val="single" w:color="000000" w:sz="2" w:space="0"/>
            </w:tcBorders>
            <w:vAlign w:val="center"/>
          </w:tcPr>
          <w:p w14:paraId="7819D066">
            <w:pPr>
              <w:jc w:val="both"/>
              <w:rPr>
                <w:rFonts w:ascii="Arial" w:hAnsi="Arial" w:cs="Arial"/>
                <w:sz w:val="18"/>
                <w:szCs w:val="18"/>
              </w:rPr>
            </w:pPr>
            <w:r>
              <w:rPr>
                <w:rFonts w:ascii="Arial" w:hAnsi="Arial" w:cs="Arial"/>
                <w:sz w:val="18"/>
                <w:szCs w:val="18"/>
              </w:rPr>
              <w:t>Flumazenil Dosagem: 0,1 MG/ML, Indicação: Solução Injetável</w:t>
            </w:r>
          </w:p>
        </w:tc>
        <w:tc>
          <w:tcPr>
            <w:tcW w:w="1134" w:type="dxa"/>
            <w:tcBorders>
              <w:top w:val="nil"/>
              <w:left w:val="single" w:color="000000" w:sz="2" w:space="0"/>
              <w:bottom w:val="single" w:color="000000" w:sz="2" w:space="0"/>
              <w:right w:val="single" w:color="000000" w:sz="2" w:space="0"/>
            </w:tcBorders>
            <w:vAlign w:val="center"/>
          </w:tcPr>
          <w:p w14:paraId="6AC5641F">
            <w:pPr>
              <w:jc w:val="center"/>
              <w:rPr>
                <w:rFonts w:ascii="Arial" w:hAnsi="Arial"/>
                <w:sz w:val="18"/>
                <w:szCs w:val="18"/>
              </w:rPr>
            </w:pPr>
            <w:r>
              <w:rPr>
                <w:rFonts w:ascii="Arial" w:hAnsi="Arial"/>
                <w:sz w:val="18"/>
                <w:szCs w:val="18"/>
              </w:rPr>
              <w:t>Ampola 5 ML</w:t>
            </w:r>
          </w:p>
        </w:tc>
        <w:tc>
          <w:tcPr>
            <w:tcW w:w="992" w:type="dxa"/>
            <w:tcBorders>
              <w:top w:val="nil"/>
              <w:left w:val="single" w:color="000000" w:sz="2" w:space="0"/>
              <w:bottom w:val="single" w:color="000000" w:sz="2" w:space="0"/>
              <w:right w:val="single" w:color="000000" w:sz="8" w:space="0"/>
            </w:tcBorders>
            <w:vAlign w:val="center"/>
          </w:tcPr>
          <w:p w14:paraId="653F9F5F">
            <w:pPr>
              <w:jc w:val="center"/>
              <w:rPr>
                <w:rFonts w:ascii="Arial" w:hAnsi="Arial"/>
                <w:sz w:val="18"/>
                <w:szCs w:val="18"/>
              </w:rPr>
            </w:pPr>
            <w:r>
              <w:rPr>
                <w:rFonts w:ascii="Arial" w:hAnsi="Arial"/>
                <w:sz w:val="18"/>
                <w:szCs w:val="18"/>
              </w:rPr>
              <w:t>300</w:t>
            </w:r>
          </w:p>
        </w:tc>
        <w:tc>
          <w:tcPr>
            <w:tcW w:w="1134" w:type="dxa"/>
            <w:tcBorders>
              <w:top w:val="nil"/>
              <w:left w:val="single" w:color="000000" w:sz="2" w:space="0"/>
              <w:bottom w:val="single" w:color="000000" w:sz="2" w:space="0"/>
              <w:right w:val="single" w:color="000000" w:sz="8" w:space="0"/>
            </w:tcBorders>
          </w:tcPr>
          <w:p w14:paraId="4C521FD9">
            <w:pPr>
              <w:jc w:val="center"/>
              <w:rPr>
                <w:rFonts w:ascii="Arial" w:hAnsi="Arial" w:eastAsia="Times New Roman"/>
                <w:sz w:val="18"/>
                <w:szCs w:val="18"/>
              </w:rPr>
            </w:pPr>
          </w:p>
          <w:p w14:paraId="6898E0A4">
            <w:pPr>
              <w:jc w:val="center"/>
              <w:rPr>
                <w:rFonts w:ascii="Arial" w:hAnsi="Arial" w:eastAsia="Times New Roman"/>
                <w:sz w:val="18"/>
                <w:szCs w:val="18"/>
              </w:rPr>
            </w:pPr>
            <w:r>
              <w:rPr>
                <w:rFonts w:ascii="Arial" w:hAnsi="Arial" w:eastAsia="Times New Roman"/>
                <w:sz w:val="18"/>
                <w:szCs w:val="18"/>
              </w:rPr>
              <w:t>R$ 8,56</w:t>
            </w:r>
          </w:p>
        </w:tc>
        <w:tc>
          <w:tcPr>
            <w:tcW w:w="1276" w:type="dxa"/>
            <w:tcBorders>
              <w:top w:val="nil"/>
              <w:left w:val="single" w:color="000000" w:sz="2" w:space="0"/>
              <w:bottom w:val="single" w:color="000000" w:sz="2" w:space="0"/>
              <w:right w:val="single" w:color="000000" w:sz="8" w:space="0"/>
            </w:tcBorders>
          </w:tcPr>
          <w:p w14:paraId="024C4CD6">
            <w:pPr>
              <w:jc w:val="center"/>
              <w:rPr>
                <w:rFonts w:ascii="Arial" w:hAnsi="Arial" w:eastAsia="Times New Roman"/>
                <w:sz w:val="18"/>
                <w:szCs w:val="18"/>
              </w:rPr>
            </w:pPr>
          </w:p>
          <w:p w14:paraId="63EB1845">
            <w:pPr>
              <w:jc w:val="center"/>
              <w:rPr>
                <w:rFonts w:ascii="Arial" w:hAnsi="Arial" w:eastAsia="Times New Roman"/>
                <w:sz w:val="18"/>
                <w:szCs w:val="18"/>
              </w:rPr>
            </w:pPr>
            <w:r>
              <w:rPr>
                <w:rFonts w:ascii="Arial" w:hAnsi="Arial" w:eastAsia="Times New Roman"/>
                <w:sz w:val="18"/>
                <w:szCs w:val="18"/>
              </w:rPr>
              <w:t>R$ 2.568,00</w:t>
            </w:r>
          </w:p>
        </w:tc>
      </w:tr>
      <w:tr w14:paraId="05F6BA34">
        <w:tblPrEx>
          <w:tblCellMar>
            <w:top w:w="47" w:type="dxa"/>
            <w:left w:w="102" w:type="dxa"/>
            <w:bottom w:w="1" w:type="dxa"/>
            <w:right w:w="48" w:type="dxa"/>
          </w:tblCellMar>
        </w:tblPrEx>
        <w:trPr>
          <w:trHeight w:val="276" w:hRule="atLeast"/>
        </w:trPr>
        <w:tc>
          <w:tcPr>
            <w:tcW w:w="674" w:type="dxa"/>
            <w:tcBorders>
              <w:top w:val="nil"/>
              <w:left w:val="single" w:color="000000" w:sz="8" w:space="0"/>
              <w:bottom w:val="single" w:color="auto" w:sz="4" w:space="0"/>
              <w:right w:val="single" w:color="000000" w:sz="2" w:space="0"/>
            </w:tcBorders>
            <w:vAlign w:val="center"/>
          </w:tcPr>
          <w:p w14:paraId="60BF39C1">
            <w:pPr>
              <w:ind w:right="64"/>
              <w:jc w:val="center"/>
              <w:rPr>
                <w:rFonts w:hint="eastAsia" w:ascii="Arial" w:hAnsi="Arial"/>
                <w:sz w:val="18"/>
                <w:szCs w:val="18"/>
              </w:rPr>
            </w:pPr>
            <w:r>
              <w:rPr>
                <w:rFonts w:ascii="Arial" w:hAnsi="Arial"/>
                <w:sz w:val="18"/>
                <w:szCs w:val="18"/>
              </w:rPr>
              <w:t>11</w:t>
            </w:r>
          </w:p>
        </w:tc>
        <w:tc>
          <w:tcPr>
            <w:tcW w:w="992" w:type="dxa"/>
            <w:tcBorders>
              <w:top w:val="nil"/>
              <w:left w:val="single" w:color="000000" w:sz="2" w:space="0"/>
              <w:bottom w:val="single" w:color="auto" w:sz="4" w:space="0"/>
              <w:right w:val="single" w:color="000000" w:sz="2" w:space="0"/>
            </w:tcBorders>
            <w:vAlign w:val="center"/>
          </w:tcPr>
          <w:p w14:paraId="68BEA8A5">
            <w:pPr>
              <w:jc w:val="center"/>
              <w:rPr>
                <w:rFonts w:ascii="Arial" w:hAnsi="Arial"/>
                <w:sz w:val="18"/>
                <w:szCs w:val="18"/>
              </w:rPr>
            </w:pPr>
            <w:r>
              <w:rPr>
                <w:rFonts w:ascii="Arial" w:hAnsi="Arial"/>
                <w:sz w:val="18"/>
                <w:szCs w:val="18"/>
              </w:rPr>
              <w:t>268481</w:t>
            </w:r>
          </w:p>
        </w:tc>
        <w:tc>
          <w:tcPr>
            <w:tcW w:w="3828" w:type="dxa"/>
            <w:tcBorders>
              <w:top w:val="nil"/>
              <w:left w:val="single" w:color="000000" w:sz="2" w:space="0"/>
              <w:bottom w:val="single" w:color="auto" w:sz="4" w:space="0"/>
              <w:right w:val="single" w:color="000000" w:sz="2" w:space="0"/>
            </w:tcBorders>
            <w:vAlign w:val="center"/>
          </w:tcPr>
          <w:p w14:paraId="66A782FE">
            <w:pPr>
              <w:jc w:val="both"/>
              <w:rPr>
                <w:rFonts w:ascii="Arial" w:hAnsi="Arial" w:cs="Arial"/>
                <w:sz w:val="18"/>
                <w:szCs w:val="18"/>
              </w:rPr>
            </w:pPr>
            <w:r>
              <w:rPr>
                <w:rFonts w:ascii="Arial" w:hAnsi="Arial" w:cs="Arial"/>
                <w:sz w:val="18"/>
                <w:szCs w:val="18"/>
              </w:rPr>
              <w:t>Midazolam Dosagem: 5 MG/ML, Aplicação: Injetável</w:t>
            </w:r>
          </w:p>
        </w:tc>
        <w:tc>
          <w:tcPr>
            <w:tcW w:w="1134" w:type="dxa"/>
            <w:tcBorders>
              <w:top w:val="nil"/>
              <w:left w:val="single" w:color="000000" w:sz="2" w:space="0"/>
              <w:bottom w:val="single" w:color="auto" w:sz="4" w:space="0"/>
              <w:right w:val="single" w:color="000000" w:sz="2" w:space="0"/>
            </w:tcBorders>
            <w:vAlign w:val="center"/>
          </w:tcPr>
          <w:p w14:paraId="0B52D2EB">
            <w:pPr>
              <w:jc w:val="center"/>
              <w:rPr>
                <w:rFonts w:ascii="Arial" w:hAnsi="Arial"/>
                <w:sz w:val="18"/>
                <w:szCs w:val="18"/>
              </w:rPr>
            </w:pPr>
            <w:r>
              <w:rPr>
                <w:rFonts w:ascii="Arial" w:hAnsi="Arial"/>
                <w:sz w:val="18"/>
                <w:szCs w:val="18"/>
              </w:rPr>
              <w:t>Ampola 10 ML</w:t>
            </w:r>
          </w:p>
        </w:tc>
        <w:tc>
          <w:tcPr>
            <w:tcW w:w="992" w:type="dxa"/>
            <w:tcBorders>
              <w:top w:val="nil"/>
              <w:left w:val="single" w:color="000000" w:sz="2" w:space="0"/>
              <w:bottom w:val="single" w:color="auto" w:sz="4" w:space="0"/>
              <w:right w:val="single" w:color="000000" w:sz="8" w:space="0"/>
            </w:tcBorders>
            <w:vAlign w:val="center"/>
          </w:tcPr>
          <w:p w14:paraId="3524D5DF">
            <w:pPr>
              <w:jc w:val="center"/>
              <w:rPr>
                <w:rFonts w:ascii="Arial" w:hAnsi="Arial"/>
                <w:sz w:val="18"/>
                <w:szCs w:val="18"/>
              </w:rPr>
            </w:pPr>
            <w:r>
              <w:rPr>
                <w:rFonts w:ascii="Arial" w:hAnsi="Arial"/>
                <w:sz w:val="18"/>
                <w:szCs w:val="18"/>
              </w:rPr>
              <w:t>400</w:t>
            </w:r>
          </w:p>
        </w:tc>
        <w:tc>
          <w:tcPr>
            <w:tcW w:w="1134" w:type="dxa"/>
            <w:tcBorders>
              <w:top w:val="nil"/>
              <w:left w:val="single" w:color="000000" w:sz="2" w:space="0"/>
              <w:bottom w:val="single" w:color="auto" w:sz="4" w:space="0"/>
              <w:right w:val="single" w:color="000000" w:sz="8" w:space="0"/>
            </w:tcBorders>
          </w:tcPr>
          <w:p w14:paraId="4A55208B">
            <w:pPr>
              <w:jc w:val="center"/>
              <w:rPr>
                <w:rFonts w:ascii="Arial" w:hAnsi="Arial" w:eastAsia="Times New Roman"/>
                <w:sz w:val="18"/>
                <w:szCs w:val="18"/>
              </w:rPr>
            </w:pPr>
          </w:p>
          <w:p w14:paraId="27AEFEEA">
            <w:pPr>
              <w:jc w:val="center"/>
              <w:rPr>
                <w:rFonts w:ascii="Arial" w:hAnsi="Arial" w:eastAsia="Times New Roman"/>
                <w:sz w:val="18"/>
                <w:szCs w:val="18"/>
              </w:rPr>
            </w:pPr>
            <w:r>
              <w:rPr>
                <w:rFonts w:ascii="Arial" w:hAnsi="Arial" w:eastAsia="Times New Roman"/>
                <w:sz w:val="18"/>
                <w:szCs w:val="18"/>
              </w:rPr>
              <w:t>R$ 4,24</w:t>
            </w:r>
          </w:p>
        </w:tc>
        <w:tc>
          <w:tcPr>
            <w:tcW w:w="1276" w:type="dxa"/>
            <w:tcBorders>
              <w:top w:val="nil"/>
              <w:left w:val="single" w:color="000000" w:sz="2" w:space="0"/>
              <w:bottom w:val="single" w:color="auto" w:sz="4" w:space="0"/>
              <w:right w:val="single" w:color="000000" w:sz="8" w:space="0"/>
            </w:tcBorders>
          </w:tcPr>
          <w:p w14:paraId="058852BC">
            <w:pPr>
              <w:jc w:val="center"/>
              <w:rPr>
                <w:rFonts w:ascii="Arial" w:hAnsi="Arial" w:eastAsia="Times New Roman"/>
                <w:sz w:val="18"/>
                <w:szCs w:val="18"/>
              </w:rPr>
            </w:pPr>
          </w:p>
          <w:p w14:paraId="1B33B52F">
            <w:pPr>
              <w:jc w:val="center"/>
              <w:rPr>
                <w:rFonts w:ascii="Arial" w:hAnsi="Arial" w:eastAsia="Times New Roman"/>
                <w:sz w:val="18"/>
                <w:szCs w:val="18"/>
              </w:rPr>
            </w:pPr>
            <w:r>
              <w:rPr>
                <w:rFonts w:ascii="Arial" w:hAnsi="Arial" w:eastAsia="Times New Roman"/>
                <w:sz w:val="18"/>
                <w:szCs w:val="18"/>
              </w:rPr>
              <w:t>R$ 1.696,00</w:t>
            </w:r>
          </w:p>
        </w:tc>
      </w:tr>
      <w:tr w14:paraId="4A980898">
        <w:tblPrEx>
          <w:tblCellMar>
            <w:top w:w="47" w:type="dxa"/>
            <w:left w:w="102" w:type="dxa"/>
            <w:bottom w:w="1" w:type="dxa"/>
            <w:right w:w="48" w:type="dxa"/>
          </w:tblCellMar>
        </w:tblPrEx>
        <w:trPr>
          <w:trHeight w:val="276" w:hRule="atLeast"/>
        </w:trPr>
        <w:tc>
          <w:tcPr>
            <w:tcW w:w="674" w:type="dxa"/>
            <w:tcBorders>
              <w:top w:val="single" w:color="auto" w:sz="4" w:space="0"/>
              <w:left w:val="single" w:color="000000" w:sz="8" w:space="0"/>
              <w:bottom w:val="single" w:color="auto" w:sz="4" w:space="0"/>
              <w:right w:val="single" w:color="000000" w:sz="2" w:space="0"/>
            </w:tcBorders>
            <w:vAlign w:val="center"/>
          </w:tcPr>
          <w:p w14:paraId="4BC78306">
            <w:pPr>
              <w:ind w:right="64"/>
              <w:jc w:val="center"/>
              <w:rPr>
                <w:rFonts w:hint="eastAsia" w:ascii="Arial" w:hAnsi="Arial"/>
                <w:sz w:val="18"/>
                <w:szCs w:val="18"/>
              </w:rPr>
            </w:pPr>
            <w:r>
              <w:rPr>
                <w:rFonts w:ascii="Arial" w:hAnsi="Arial"/>
                <w:sz w:val="18"/>
                <w:szCs w:val="18"/>
              </w:rPr>
              <w:t>12</w:t>
            </w:r>
          </w:p>
        </w:tc>
        <w:tc>
          <w:tcPr>
            <w:tcW w:w="992" w:type="dxa"/>
            <w:tcBorders>
              <w:top w:val="single" w:color="auto" w:sz="4" w:space="0"/>
              <w:left w:val="single" w:color="000000" w:sz="2" w:space="0"/>
              <w:bottom w:val="single" w:color="auto" w:sz="4" w:space="0"/>
              <w:right w:val="single" w:color="000000" w:sz="2" w:space="0"/>
            </w:tcBorders>
            <w:vAlign w:val="center"/>
          </w:tcPr>
          <w:p w14:paraId="439F1175">
            <w:pPr>
              <w:jc w:val="center"/>
              <w:rPr>
                <w:rFonts w:ascii="Arial" w:hAnsi="Arial" w:cs="RobotoLightRegular"/>
                <w:sz w:val="18"/>
                <w:szCs w:val="18"/>
              </w:rPr>
            </w:pPr>
            <w:r>
              <w:rPr>
                <w:rFonts w:ascii="Arial" w:hAnsi="Arial" w:cs="RobotoLightRegular"/>
                <w:sz w:val="18"/>
                <w:szCs w:val="18"/>
              </w:rPr>
              <w:t>268481</w:t>
            </w:r>
          </w:p>
        </w:tc>
        <w:tc>
          <w:tcPr>
            <w:tcW w:w="3828" w:type="dxa"/>
            <w:tcBorders>
              <w:top w:val="single" w:color="auto" w:sz="4" w:space="0"/>
              <w:left w:val="single" w:color="000000" w:sz="2" w:space="0"/>
              <w:bottom w:val="single" w:color="auto" w:sz="4" w:space="0"/>
              <w:right w:val="single" w:color="000000" w:sz="2" w:space="0"/>
            </w:tcBorders>
            <w:vAlign w:val="center"/>
          </w:tcPr>
          <w:p w14:paraId="457C6473">
            <w:pPr>
              <w:jc w:val="both"/>
              <w:rPr>
                <w:rFonts w:ascii="Arial" w:hAnsi="Arial" w:cs="Arial"/>
                <w:sz w:val="18"/>
                <w:szCs w:val="18"/>
              </w:rPr>
            </w:pPr>
            <w:r>
              <w:rPr>
                <w:rFonts w:ascii="Arial" w:hAnsi="Arial" w:cs="Arial"/>
                <w:sz w:val="18"/>
                <w:szCs w:val="18"/>
              </w:rPr>
              <w:t>Midazolam Dosagem: 5 MG/ML, Aplicação: Injetável</w:t>
            </w:r>
          </w:p>
        </w:tc>
        <w:tc>
          <w:tcPr>
            <w:tcW w:w="1134" w:type="dxa"/>
            <w:tcBorders>
              <w:top w:val="single" w:color="auto" w:sz="4" w:space="0"/>
              <w:left w:val="single" w:color="000000" w:sz="2" w:space="0"/>
              <w:bottom w:val="single" w:color="auto" w:sz="4" w:space="0"/>
              <w:right w:val="single" w:color="000000" w:sz="2" w:space="0"/>
            </w:tcBorders>
            <w:vAlign w:val="center"/>
          </w:tcPr>
          <w:p w14:paraId="6E7EF0BE">
            <w:pPr>
              <w:jc w:val="center"/>
              <w:rPr>
                <w:rFonts w:ascii="Arial" w:hAnsi="Arial"/>
                <w:sz w:val="18"/>
                <w:szCs w:val="18"/>
              </w:rPr>
            </w:pPr>
            <w:r>
              <w:rPr>
                <w:rFonts w:ascii="Arial" w:hAnsi="Arial"/>
                <w:sz w:val="18"/>
                <w:szCs w:val="18"/>
              </w:rPr>
              <w:t>Ampola 3 ML</w:t>
            </w:r>
          </w:p>
        </w:tc>
        <w:tc>
          <w:tcPr>
            <w:tcW w:w="992" w:type="dxa"/>
            <w:tcBorders>
              <w:top w:val="single" w:color="auto" w:sz="4" w:space="0"/>
              <w:left w:val="single" w:color="000000" w:sz="2" w:space="0"/>
              <w:bottom w:val="single" w:color="auto" w:sz="4" w:space="0"/>
              <w:right w:val="single" w:color="000000" w:sz="8" w:space="0"/>
            </w:tcBorders>
            <w:vAlign w:val="center"/>
          </w:tcPr>
          <w:p w14:paraId="0FB037BD">
            <w:pPr>
              <w:jc w:val="center"/>
              <w:rPr>
                <w:rFonts w:ascii="Arial" w:hAnsi="Arial" w:eastAsia="Times New Roman"/>
                <w:sz w:val="18"/>
                <w:szCs w:val="18"/>
              </w:rPr>
            </w:pPr>
            <w:r>
              <w:rPr>
                <w:rFonts w:ascii="Arial" w:hAnsi="Arial" w:eastAsia="Times New Roman"/>
                <w:sz w:val="18"/>
                <w:szCs w:val="18"/>
              </w:rPr>
              <w:t>400</w:t>
            </w:r>
          </w:p>
        </w:tc>
        <w:tc>
          <w:tcPr>
            <w:tcW w:w="1134" w:type="dxa"/>
            <w:tcBorders>
              <w:top w:val="single" w:color="auto" w:sz="4" w:space="0"/>
              <w:left w:val="single" w:color="000000" w:sz="2" w:space="0"/>
              <w:bottom w:val="single" w:color="auto" w:sz="4" w:space="0"/>
              <w:right w:val="single" w:color="000000" w:sz="8" w:space="0"/>
            </w:tcBorders>
          </w:tcPr>
          <w:p w14:paraId="2F81F1B6">
            <w:pPr>
              <w:jc w:val="center"/>
              <w:rPr>
                <w:rFonts w:ascii="Arial" w:hAnsi="Arial" w:eastAsia="Times New Roman"/>
                <w:sz w:val="18"/>
                <w:szCs w:val="18"/>
              </w:rPr>
            </w:pPr>
            <w:r>
              <w:rPr>
                <w:rFonts w:ascii="Arial" w:hAnsi="Arial" w:eastAsia="Times New Roman"/>
                <w:sz w:val="18"/>
                <w:szCs w:val="18"/>
              </w:rPr>
              <w:t>R$ 3,75</w:t>
            </w:r>
          </w:p>
        </w:tc>
        <w:tc>
          <w:tcPr>
            <w:tcW w:w="1276" w:type="dxa"/>
            <w:tcBorders>
              <w:top w:val="single" w:color="auto" w:sz="4" w:space="0"/>
              <w:left w:val="single" w:color="000000" w:sz="2" w:space="0"/>
              <w:bottom w:val="single" w:color="auto" w:sz="4" w:space="0"/>
              <w:right w:val="single" w:color="000000" w:sz="8" w:space="0"/>
            </w:tcBorders>
          </w:tcPr>
          <w:p w14:paraId="4FE2981A">
            <w:pPr>
              <w:jc w:val="center"/>
              <w:rPr>
                <w:rFonts w:ascii="Arial" w:hAnsi="Arial" w:eastAsia="Times New Roman"/>
                <w:sz w:val="18"/>
                <w:szCs w:val="18"/>
              </w:rPr>
            </w:pPr>
            <w:r>
              <w:rPr>
                <w:rFonts w:ascii="Arial" w:hAnsi="Arial" w:eastAsia="Times New Roman"/>
                <w:sz w:val="18"/>
                <w:szCs w:val="18"/>
              </w:rPr>
              <w:t>R$ 1.500,00</w:t>
            </w:r>
          </w:p>
        </w:tc>
      </w:tr>
      <w:tr w14:paraId="7D668627">
        <w:tblPrEx>
          <w:tblCellMar>
            <w:top w:w="47" w:type="dxa"/>
            <w:left w:w="102" w:type="dxa"/>
            <w:bottom w:w="1" w:type="dxa"/>
            <w:right w:w="48" w:type="dxa"/>
          </w:tblCellMar>
        </w:tblPrEx>
        <w:trPr>
          <w:trHeight w:val="276" w:hRule="atLeast"/>
        </w:trPr>
        <w:tc>
          <w:tcPr>
            <w:tcW w:w="674" w:type="dxa"/>
            <w:tcBorders>
              <w:top w:val="single" w:color="auto" w:sz="4" w:space="0"/>
              <w:left w:val="single" w:color="000000" w:sz="8" w:space="0"/>
              <w:bottom w:val="single" w:color="000000" w:sz="2" w:space="0"/>
              <w:right w:val="single" w:color="000000" w:sz="2" w:space="0"/>
            </w:tcBorders>
            <w:vAlign w:val="center"/>
          </w:tcPr>
          <w:p w14:paraId="43AC77F5">
            <w:pPr>
              <w:ind w:right="64"/>
              <w:jc w:val="center"/>
              <w:rPr>
                <w:rFonts w:hint="eastAsia" w:ascii="Arial" w:hAnsi="Arial"/>
                <w:sz w:val="18"/>
                <w:szCs w:val="18"/>
              </w:rPr>
            </w:pPr>
            <w:r>
              <w:rPr>
                <w:rFonts w:ascii="Arial" w:hAnsi="Arial"/>
                <w:sz w:val="18"/>
                <w:szCs w:val="18"/>
              </w:rPr>
              <w:t>13</w:t>
            </w:r>
          </w:p>
        </w:tc>
        <w:tc>
          <w:tcPr>
            <w:tcW w:w="992" w:type="dxa"/>
            <w:tcBorders>
              <w:top w:val="single" w:color="auto" w:sz="4" w:space="0"/>
              <w:left w:val="single" w:color="000000" w:sz="2" w:space="0"/>
              <w:bottom w:val="single" w:color="000000" w:sz="2" w:space="0"/>
              <w:right w:val="single" w:color="000000" w:sz="2" w:space="0"/>
            </w:tcBorders>
            <w:vAlign w:val="center"/>
          </w:tcPr>
          <w:p w14:paraId="5663A1AC">
            <w:pPr>
              <w:jc w:val="center"/>
              <w:rPr>
                <w:rFonts w:ascii="Arial" w:hAnsi="Arial" w:cs="RobotoLightRegular"/>
                <w:sz w:val="18"/>
                <w:szCs w:val="18"/>
              </w:rPr>
            </w:pPr>
            <w:r>
              <w:rPr>
                <w:rFonts w:ascii="Arial" w:hAnsi="Arial" w:cs="RobotoLightRegular"/>
                <w:sz w:val="18"/>
                <w:szCs w:val="18"/>
              </w:rPr>
              <w:t>268482</w:t>
            </w:r>
          </w:p>
        </w:tc>
        <w:tc>
          <w:tcPr>
            <w:tcW w:w="3828" w:type="dxa"/>
            <w:tcBorders>
              <w:top w:val="single" w:color="auto" w:sz="4" w:space="0"/>
              <w:left w:val="single" w:color="000000" w:sz="2" w:space="0"/>
              <w:bottom w:val="single" w:color="000000" w:sz="2" w:space="0"/>
              <w:right w:val="single" w:color="000000" w:sz="2" w:space="0"/>
            </w:tcBorders>
            <w:vAlign w:val="center"/>
          </w:tcPr>
          <w:p w14:paraId="277501E1">
            <w:pPr>
              <w:jc w:val="both"/>
              <w:rPr>
                <w:rFonts w:ascii="Arial" w:hAnsi="Arial" w:cs="Arial"/>
                <w:sz w:val="18"/>
                <w:szCs w:val="18"/>
              </w:rPr>
            </w:pPr>
            <w:r>
              <w:rPr>
                <w:rFonts w:ascii="Arial" w:hAnsi="Arial" w:cs="Arial"/>
                <w:sz w:val="18"/>
                <w:szCs w:val="18"/>
              </w:rPr>
              <w:t>Midazolam Dosagem: 1 MG/ML, Aplicação: Injetável</w:t>
            </w:r>
          </w:p>
        </w:tc>
        <w:tc>
          <w:tcPr>
            <w:tcW w:w="1134" w:type="dxa"/>
            <w:tcBorders>
              <w:top w:val="single" w:color="auto" w:sz="4" w:space="0"/>
              <w:left w:val="single" w:color="000000" w:sz="2" w:space="0"/>
              <w:bottom w:val="single" w:color="000000" w:sz="2" w:space="0"/>
              <w:right w:val="single" w:color="000000" w:sz="2" w:space="0"/>
            </w:tcBorders>
            <w:vAlign w:val="center"/>
          </w:tcPr>
          <w:p w14:paraId="79730B9A">
            <w:pPr>
              <w:jc w:val="center"/>
              <w:rPr>
                <w:rFonts w:ascii="Arial" w:hAnsi="Arial"/>
                <w:sz w:val="18"/>
                <w:szCs w:val="18"/>
              </w:rPr>
            </w:pPr>
            <w:r>
              <w:rPr>
                <w:rFonts w:ascii="Arial" w:hAnsi="Arial"/>
                <w:sz w:val="18"/>
                <w:szCs w:val="18"/>
              </w:rPr>
              <w:t>Ampola 5 ML</w:t>
            </w:r>
          </w:p>
        </w:tc>
        <w:tc>
          <w:tcPr>
            <w:tcW w:w="992" w:type="dxa"/>
            <w:tcBorders>
              <w:top w:val="single" w:color="auto" w:sz="4" w:space="0"/>
              <w:left w:val="single" w:color="000000" w:sz="2" w:space="0"/>
              <w:bottom w:val="single" w:color="000000" w:sz="2" w:space="0"/>
              <w:right w:val="single" w:color="000000" w:sz="8" w:space="0"/>
            </w:tcBorders>
            <w:vAlign w:val="center"/>
          </w:tcPr>
          <w:p w14:paraId="1EE8E0AE">
            <w:pPr>
              <w:jc w:val="center"/>
              <w:rPr>
                <w:rFonts w:ascii="Arial" w:hAnsi="Arial" w:eastAsia="Times New Roman"/>
                <w:sz w:val="18"/>
                <w:szCs w:val="18"/>
              </w:rPr>
            </w:pPr>
            <w:r>
              <w:rPr>
                <w:rFonts w:ascii="Arial" w:hAnsi="Arial" w:eastAsia="Times New Roman"/>
                <w:sz w:val="18"/>
                <w:szCs w:val="18"/>
              </w:rPr>
              <w:t>700</w:t>
            </w:r>
          </w:p>
        </w:tc>
        <w:tc>
          <w:tcPr>
            <w:tcW w:w="1134" w:type="dxa"/>
            <w:tcBorders>
              <w:top w:val="single" w:color="auto" w:sz="4" w:space="0"/>
              <w:left w:val="single" w:color="000000" w:sz="2" w:space="0"/>
              <w:bottom w:val="single" w:color="000000" w:sz="2" w:space="0"/>
              <w:right w:val="single" w:color="000000" w:sz="8" w:space="0"/>
            </w:tcBorders>
          </w:tcPr>
          <w:p w14:paraId="3DF52CB0">
            <w:pPr>
              <w:jc w:val="center"/>
              <w:rPr>
                <w:rFonts w:ascii="Arial" w:hAnsi="Arial" w:eastAsia="Times New Roman"/>
                <w:sz w:val="18"/>
                <w:szCs w:val="18"/>
              </w:rPr>
            </w:pPr>
            <w:r>
              <w:rPr>
                <w:rFonts w:ascii="Arial" w:hAnsi="Arial" w:eastAsia="Times New Roman"/>
                <w:sz w:val="18"/>
                <w:szCs w:val="18"/>
              </w:rPr>
              <w:t>R$ 2,77</w:t>
            </w:r>
          </w:p>
        </w:tc>
        <w:tc>
          <w:tcPr>
            <w:tcW w:w="1276" w:type="dxa"/>
            <w:tcBorders>
              <w:top w:val="single" w:color="auto" w:sz="4" w:space="0"/>
              <w:left w:val="single" w:color="000000" w:sz="2" w:space="0"/>
              <w:bottom w:val="single" w:color="000000" w:sz="2" w:space="0"/>
              <w:right w:val="single" w:color="000000" w:sz="8" w:space="0"/>
            </w:tcBorders>
          </w:tcPr>
          <w:p w14:paraId="609C82D2">
            <w:pPr>
              <w:jc w:val="center"/>
              <w:rPr>
                <w:rFonts w:ascii="Arial" w:hAnsi="Arial" w:eastAsia="Times New Roman"/>
                <w:sz w:val="18"/>
                <w:szCs w:val="18"/>
              </w:rPr>
            </w:pPr>
            <w:r>
              <w:rPr>
                <w:rFonts w:ascii="Arial" w:hAnsi="Arial" w:eastAsia="Times New Roman"/>
                <w:sz w:val="18"/>
                <w:szCs w:val="18"/>
              </w:rPr>
              <w:t>R$ 1.939,00</w:t>
            </w:r>
          </w:p>
        </w:tc>
      </w:tr>
      <w:tr w14:paraId="4AFD540C">
        <w:tblPrEx>
          <w:tblCellMar>
            <w:top w:w="47" w:type="dxa"/>
            <w:left w:w="102" w:type="dxa"/>
            <w:bottom w:w="1" w:type="dxa"/>
            <w:right w:w="48" w:type="dxa"/>
          </w:tblCellMar>
        </w:tblPrEx>
        <w:trPr>
          <w:trHeight w:val="276" w:hRule="atLeast"/>
        </w:trPr>
        <w:tc>
          <w:tcPr>
            <w:tcW w:w="674" w:type="dxa"/>
            <w:tcBorders>
              <w:top w:val="single" w:color="auto" w:sz="4" w:space="0"/>
              <w:left w:val="single" w:color="000000" w:sz="8" w:space="0"/>
              <w:bottom w:val="single" w:color="auto" w:sz="4" w:space="0"/>
              <w:right w:val="single" w:color="000000" w:sz="2" w:space="0"/>
            </w:tcBorders>
            <w:vAlign w:val="center"/>
          </w:tcPr>
          <w:p w14:paraId="0056A1DD">
            <w:pPr>
              <w:ind w:right="64"/>
              <w:jc w:val="center"/>
              <w:rPr>
                <w:rFonts w:hint="eastAsia" w:ascii="Arial" w:hAnsi="Arial"/>
                <w:sz w:val="18"/>
                <w:szCs w:val="18"/>
              </w:rPr>
            </w:pPr>
            <w:r>
              <w:rPr>
                <w:rFonts w:ascii="Arial" w:hAnsi="Arial"/>
                <w:sz w:val="18"/>
                <w:szCs w:val="18"/>
              </w:rPr>
              <w:t>14</w:t>
            </w:r>
          </w:p>
        </w:tc>
        <w:tc>
          <w:tcPr>
            <w:tcW w:w="992" w:type="dxa"/>
            <w:tcBorders>
              <w:top w:val="single" w:color="auto" w:sz="4" w:space="0"/>
              <w:left w:val="single" w:color="000000" w:sz="2" w:space="0"/>
              <w:bottom w:val="single" w:color="auto" w:sz="4" w:space="0"/>
              <w:right w:val="single" w:color="000000" w:sz="2" w:space="0"/>
            </w:tcBorders>
            <w:vAlign w:val="center"/>
          </w:tcPr>
          <w:p w14:paraId="1E3265FD">
            <w:pPr>
              <w:jc w:val="center"/>
              <w:rPr>
                <w:rFonts w:ascii="Arial" w:hAnsi="Arial" w:cs="RobotoLightRegular"/>
                <w:sz w:val="18"/>
                <w:szCs w:val="18"/>
              </w:rPr>
            </w:pPr>
            <w:r>
              <w:rPr>
                <w:rFonts w:ascii="Arial" w:hAnsi="Arial" w:cs="RobotoLightRegular"/>
                <w:sz w:val="18"/>
                <w:szCs w:val="18"/>
              </w:rPr>
              <w:t>304870</w:t>
            </w:r>
          </w:p>
        </w:tc>
        <w:tc>
          <w:tcPr>
            <w:tcW w:w="3828" w:type="dxa"/>
            <w:tcBorders>
              <w:top w:val="single" w:color="auto" w:sz="4" w:space="0"/>
              <w:left w:val="single" w:color="000000" w:sz="2" w:space="0"/>
              <w:bottom w:val="single" w:color="auto" w:sz="4" w:space="0"/>
              <w:right w:val="single" w:color="000000" w:sz="2" w:space="0"/>
            </w:tcBorders>
            <w:vAlign w:val="center"/>
          </w:tcPr>
          <w:p w14:paraId="27CACA13">
            <w:pPr>
              <w:jc w:val="both"/>
              <w:rPr>
                <w:rFonts w:ascii="Arial" w:hAnsi="Arial" w:cs="Arial"/>
                <w:sz w:val="18"/>
                <w:szCs w:val="18"/>
              </w:rPr>
            </w:pPr>
            <w:r>
              <w:rPr>
                <w:rFonts w:ascii="Arial" w:hAnsi="Arial" w:cs="Arial"/>
                <w:sz w:val="18"/>
                <w:szCs w:val="18"/>
              </w:rPr>
              <w:t>Morfina Apresentação: Sulfato, Concentração: 1mg/Ml , Forma Farmacêutica: Solução Injetável</w:t>
            </w:r>
          </w:p>
        </w:tc>
        <w:tc>
          <w:tcPr>
            <w:tcW w:w="1134" w:type="dxa"/>
            <w:tcBorders>
              <w:top w:val="single" w:color="auto" w:sz="4" w:space="0"/>
              <w:left w:val="single" w:color="000000" w:sz="2" w:space="0"/>
              <w:bottom w:val="single" w:color="auto" w:sz="4" w:space="0"/>
              <w:right w:val="single" w:color="000000" w:sz="2" w:space="0"/>
            </w:tcBorders>
            <w:vAlign w:val="center"/>
          </w:tcPr>
          <w:p w14:paraId="2DE34804">
            <w:pPr>
              <w:jc w:val="center"/>
              <w:rPr>
                <w:rFonts w:ascii="Arial" w:hAnsi="Arial"/>
                <w:sz w:val="18"/>
                <w:szCs w:val="18"/>
              </w:rPr>
            </w:pPr>
            <w:r>
              <w:rPr>
                <w:rFonts w:ascii="Arial" w:hAnsi="Arial"/>
                <w:sz w:val="18"/>
                <w:szCs w:val="18"/>
              </w:rPr>
              <w:t>Ampola 2 ML</w:t>
            </w:r>
          </w:p>
        </w:tc>
        <w:tc>
          <w:tcPr>
            <w:tcW w:w="992" w:type="dxa"/>
            <w:tcBorders>
              <w:top w:val="single" w:color="auto" w:sz="4" w:space="0"/>
              <w:left w:val="single" w:color="000000" w:sz="2" w:space="0"/>
              <w:bottom w:val="single" w:color="auto" w:sz="4" w:space="0"/>
              <w:right w:val="single" w:color="000000" w:sz="8" w:space="0"/>
            </w:tcBorders>
            <w:vAlign w:val="center"/>
          </w:tcPr>
          <w:p w14:paraId="37313777">
            <w:pPr>
              <w:jc w:val="center"/>
              <w:rPr>
                <w:rFonts w:ascii="Arial" w:hAnsi="Arial" w:eastAsia="Times New Roman"/>
                <w:sz w:val="18"/>
                <w:szCs w:val="18"/>
              </w:rPr>
            </w:pPr>
            <w:r>
              <w:rPr>
                <w:rFonts w:ascii="Arial" w:hAnsi="Arial" w:eastAsia="Times New Roman"/>
                <w:sz w:val="18"/>
                <w:szCs w:val="18"/>
              </w:rPr>
              <w:t>50</w:t>
            </w:r>
          </w:p>
        </w:tc>
        <w:tc>
          <w:tcPr>
            <w:tcW w:w="1134" w:type="dxa"/>
            <w:tcBorders>
              <w:top w:val="single" w:color="auto" w:sz="4" w:space="0"/>
              <w:left w:val="single" w:color="000000" w:sz="2" w:space="0"/>
              <w:bottom w:val="single" w:color="auto" w:sz="4" w:space="0"/>
              <w:right w:val="single" w:color="000000" w:sz="8" w:space="0"/>
            </w:tcBorders>
          </w:tcPr>
          <w:p w14:paraId="7B047740">
            <w:pPr>
              <w:jc w:val="center"/>
              <w:rPr>
                <w:rFonts w:ascii="Arial" w:hAnsi="Arial" w:eastAsia="Times New Roman"/>
                <w:sz w:val="18"/>
                <w:szCs w:val="18"/>
              </w:rPr>
            </w:pPr>
          </w:p>
          <w:p w14:paraId="0807FF90">
            <w:pPr>
              <w:jc w:val="center"/>
              <w:rPr>
                <w:rFonts w:ascii="Arial" w:hAnsi="Arial" w:eastAsia="Times New Roman"/>
                <w:sz w:val="18"/>
                <w:szCs w:val="18"/>
              </w:rPr>
            </w:pPr>
            <w:r>
              <w:rPr>
                <w:rFonts w:ascii="Arial" w:hAnsi="Arial" w:eastAsia="Times New Roman"/>
                <w:sz w:val="18"/>
                <w:szCs w:val="18"/>
              </w:rPr>
              <w:t>R$ 6,65</w:t>
            </w:r>
          </w:p>
        </w:tc>
        <w:tc>
          <w:tcPr>
            <w:tcW w:w="1276" w:type="dxa"/>
            <w:tcBorders>
              <w:top w:val="single" w:color="auto" w:sz="4" w:space="0"/>
              <w:left w:val="single" w:color="000000" w:sz="2" w:space="0"/>
              <w:bottom w:val="single" w:color="auto" w:sz="4" w:space="0"/>
              <w:right w:val="single" w:color="000000" w:sz="8" w:space="0"/>
            </w:tcBorders>
          </w:tcPr>
          <w:p w14:paraId="26CB3B21">
            <w:pPr>
              <w:jc w:val="center"/>
              <w:rPr>
                <w:rFonts w:ascii="Arial" w:hAnsi="Arial" w:eastAsia="Times New Roman"/>
                <w:sz w:val="18"/>
                <w:szCs w:val="18"/>
              </w:rPr>
            </w:pPr>
          </w:p>
          <w:p w14:paraId="52CB0730">
            <w:pPr>
              <w:jc w:val="center"/>
              <w:rPr>
                <w:rFonts w:ascii="Arial" w:hAnsi="Arial" w:eastAsia="Times New Roman"/>
                <w:sz w:val="18"/>
                <w:szCs w:val="18"/>
              </w:rPr>
            </w:pPr>
            <w:r>
              <w:rPr>
                <w:rFonts w:ascii="Arial" w:hAnsi="Arial" w:eastAsia="Times New Roman"/>
                <w:sz w:val="18"/>
                <w:szCs w:val="18"/>
              </w:rPr>
              <w:t>R$ 332,50</w:t>
            </w:r>
          </w:p>
        </w:tc>
      </w:tr>
      <w:tr w14:paraId="7A2154F5">
        <w:tblPrEx>
          <w:tblCellMar>
            <w:top w:w="47" w:type="dxa"/>
            <w:left w:w="102" w:type="dxa"/>
            <w:bottom w:w="1" w:type="dxa"/>
            <w:right w:w="48" w:type="dxa"/>
          </w:tblCellMar>
        </w:tblPrEx>
        <w:trPr>
          <w:trHeight w:val="276" w:hRule="atLeast"/>
        </w:trPr>
        <w:tc>
          <w:tcPr>
            <w:tcW w:w="674" w:type="dxa"/>
            <w:tcBorders>
              <w:top w:val="single" w:color="auto" w:sz="4" w:space="0"/>
              <w:left w:val="single" w:color="000000" w:sz="8" w:space="0"/>
              <w:bottom w:val="single" w:color="000000" w:sz="2" w:space="0"/>
              <w:right w:val="single" w:color="000000" w:sz="2" w:space="0"/>
            </w:tcBorders>
            <w:vAlign w:val="center"/>
          </w:tcPr>
          <w:p w14:paraId="01CD8955">
            <w:pPr>
              <w:ind w:right="64"/>
              <w:jc w:val="center"/>
              <w:rPr>
                <w:rFonts w:hint="eastAsia" w:ascii="Arial" w:hAnsi="Arial"/>
                <w:sz w:val="18"/>
                <w:szCs w:val="18"/>
              </w:rPr>
            </w:pPr>
            <w:r>
              <w:rPr>
                <w:rFonts w:ascii="Arial" w:hAnsi="Arial"/>
                <w:sz w:val="18"/>
                <w:szCs w:val="18"/>
              </w:rPr>
              <w:t>15</w:t>
            </w:r>
          </w:p>
        </w:tc>
        <w:tc>
          <w:tcPr>
            <w:tcW w:w="992" w:type="dxa"/>
            <w:tcBorders>
              <w:top w:val="single" w:color="auto" w:sz="4" w:space="0"/>
              <w:left w:val="single" w:color="000000" w:sz="2" w:space="0"/>
              <w:bottom w:val="single" w:color="000000" w:sz="2" w:space="0"/>
              <w:right w:val="single" w:color="000000" w:sz="2" w:space="0"/>
            </w:tcBorders>
            <w:vAlign w:val="center"/>
          </w:tcPr>
          <w:p w14:paraId="44F5123A">
            <w:pPr>
              <w:jc w:val="center"/>
              <w:rPr>
                <w:rFonts w:ascii="Arial" w:hAnsi="Arial" w:cs="RobotoLightRegular"/>
                <w:sz w:val="18"/>
                <w:szCs w:val="18"/>
              </w:rPr>
            </w:pPr>
            <w:r>
              <w:rPr>
                <w:rFonts w:ascii="Arial" w:hAnsi="Arial" w:cs="RobotoLightRegular"/>
                <w:sz w:val="18"/>
                <w:szCs w:val="18"/>
              </w:rPr>
              <w:t>272326</w:t>
            </w:r>
          </w:p>
        </w:tc>
        <w:tc>
          <w:tcPr>
            <w:tcW w:w="3828" w:type="dxa"/>
            <w:tcBorders>
              <w:top w:val="single" w:color="auto" w:sz="4" w:space="0"/>
              <w:left w:val="single" w:color="000000" w:sz="2" w:space="0"/>
              <w:bottom w:val="single" w:color="000000" w:sz="2" w:space="0"/>
              <w:right w:val="single" w:color="000000" w:sz="2" w:space="0"/>
            </w:tcBorders>
            <w:vAlign w:val="center"/>
          </w:tcPr>
          <w:p w14:paraId="4A742EF6">
            <w:pPr>
              <w:jc w:val="both"/>
              <w:rPr>
                <w:rFonts w:ascii="Arial" w:hAnsi="Arial" w:cs="Arial"/>
                <w:sz w:val="18"/>
                <w:szCs w:val="18"/>
              </w:rPr>
            </w:pPr>
            <w:r>
              <w:rPr>
                <w:rFonts w:ascii="Arial" w:hAnsi="Arial" w:cs="Arial"/>
                <w:sz w:val="18"/>
                <w:szCs w:val="18"/>
              </w:rPr>
              <w:t>Naloxona Cloridrato Dosagem: 0,4 MG/ML, Apresentação: Solução Injetável</w:t>
            </w:r>
          </w:p>
        </w:tc>
        <w:tc>
          <w:tcPr>
            <w:tcW w:w="1134" w:type="dxa"/>
            <w:tcBorders>
              <w:top w:val="single" w:color="auto" w:sz="4" w:space="0"/>
              <w:left w:val="single" w:color="000000" w:sz="2" w:space="0"/>
              <w:bottom w:val="single" w:color="000000" w:sz="2" w:space="0"/>
              <w:right w:val="single" w:color="000000" w:sz="2" w:space="0"/>
            </w:tcBorders>
            <w:vAlign w:val="center"/>
          </w:tcPr>
          <w:p w14:paraId="0537C585">
            <w:pPr>
              <w:jc w:val="center"/>
              <w:rPr>
                <w:rFonts w:ascii="Arial" w:hAnsi="Arial"/>
                <w:sz w:val="18"/>
                <w:szCs w:val="18"/>
              </w:rPr>
            </w:pPr>
            <w:r>
              <w:rPr>
                <w:rFonts w:ascii="Arial" w:hAnsi="Arial"/>
                <w:sz w:val="18"/>
                <w:szCs w:val="18"/>
              </w:rPr>
              <w:t>Ampola 1 ML</w:t>
            </w:r>
          </w:p>
        </w:tc>
        <w:tc>
          <w:tcPr>
            <w:tcW w:w="992" w:type="dxa"/>
            <w:tcBorders>
              <w:top w:val="single" w:color="auto" w:sz="4" w:space="0"/>
              <w:left w:val="single" w:color="000000" w:sz="2" w:space="0"/>
              <w:bottom w:val="single" w:color="000000" w:sz="2" w:space="0"/>
              <w:right w:val="single" w:color="000000" w:sz="8" w:space="0"/>
            </w:tcBorders>
            <w:vAlign w:val="center"/>
          </w:tcPr>
          <w:p w14:paraId="4369A808">
            <w:pPr>
              <w:jc w:val="center"/>
              <w:rPr>
                <w:rFonts w:ascii="Arial" w:hAnsi="Arial" w:eastAsia="Times New Roman"/>
                <w:sz w:val="18"/>
                <w:szCs w:val="18"/>
              </w:rPr>
            </w:pPr>
            <w:r>
              <w:rPr>
                <w:rFonts w:ascii="Arial" w:hAnsi="Arial" w:eastAsia="Times New Roman"/>
                <w:sz w:val="18"/>
                <w:szCs w:val="18"/>
              </w:rPr>
              <w:t>50</w:t>
            </w:r>
          </w:p>
        </w:tc>
        <w:tc>
          <w:tcPr>
            <w:tcW w:w="1134" w:type="dxa"/>
            <w:tcBorders>
              <w:top w:val="single" w:color="auto" w:sz="4" w:space="0"/>
              <w:left w:val="single" w:color="000000" w:sz="2" w:space="0"/>
              <w:bottom w:val="single" w:color="000000" w:sz="2" w:space="0"/>
              <w:right w:val="single" w:color="000000" w:sz="8" w:space="0"/>
            </w:tcBorders>
          </w:tcPr>
          <w:p w14:paraId="3FCE9FB8">
            <w:pPr>
              <w:jc w:val="center"/>
              <w:rPr>
                <w:rFonts w:ascii="Arial" w:hAnsi="Arial" w:eastAsia="Times New Roman"/>
                <w:sz w:val="18"/>
                <w:szCs w:val="18"/>
              </w:rPr>
            </w:pPr>
            <w:r>
              <w:rPr>
                <w:rFonts w:ascii="Arial" w:hAnsi="Arial" w:eastAsia="Times New Roman"/>
                <w:sz w:val="18"/>
                <w:szCs w:val="18"/>
              </w:rPr>
              <w:t>R$ 8,27</w:t>
            </w:r>
          </w:p>
        </w:tc>
        <w:tc>
          <w:tcPr>
            <w:tcW w:w="1276" w:type="dxa"/>
            <w:tcBorders>
              <w:top w:val="single" w:color="auto" w:sz="4" w:space="0"/>
              <w:left w:val="single" w:color="000000" w:sz="2" w:space="0"/>
              <w:bottom w:val="single" w:color="000000" w:sz="2" w:space="0"/>
              <w:right w:val="single" w:color="000000" w:sz="8" w:space="0"/>
            </w:tcBorders>
          </w:tcPr>
          <w:p w14:paraId="1391F992">
            <w:pPr>
              <w:jc w:val="center"/>
              <w:rPr>
                <w:rFonts w:ascii="Arial" w:hAnsi="Arial" w:eastAsia="Times New Roman"/>
                <w:sz w:val="18"/>
                <w:szCs w:val="18"/>
              </w:rPr>
            </w:pPr>
            <w:r>
              <w:rPr>
                <w:rFonts w:ascii="Arial" w:hAnsi="Arial" w:eastAsia="Times New Roman"/>
                <w:sz w:val="18"/>
                <w:szCs w:val="18"/>
              </w:rPr>
              <w:t>R$ 413,50</w:t>
            </w:r>
          </w:p>
        </w:tc>
      </w:tr>
      <w:tr w14:paraId="35C44DA2">
        <w:tblPrEx>
          <w:tblCellMar>
            <w:top w:w="47" w:type="dxa"/>
            <w:left w:w="102" w:type="dxa"/>
            <w:bottom w:w="1" w:type="dxa"/>
            <w:right w:w="48" w:type="dxa"/>
          </w:tblCellMar>
        </w:tblPrEx>
        <w:trPr>
          <w:trHeight w:val="280" w:hRule="atLeast"/>
        </w:trPr>
        <w:tc>
          <w:tcPr>
            <w:tcW w:w="674" w:type="dxa"/>
            <w:tcBorders>
              <w:top w:val="single" w:color="000000" w:sz="2" w:space="0"/>
              <w:left w:val="single" w:color="000000" w:sz="8" w:space="0"/>
              <w:bottom w:val="single" w:color="000000" w:sz="2" w:space="0"/>
              <w:right w:val="single" w:color="000000" w:sz="2" w:space="0"/>
            </w:tcBorders>
            <w:vAlign w:val="center"/>
          </w:tcPr>
          <w:p w14:paraId="77882375">
            <w:pPr>
              <w:ind w:right="64"/>
              <w:jc w:val="center"/>
              <w:rPr>
                <w:rFonts w:hint="eastAsia" w:ascii="Arial" w:hAnsi="Arial"/>
                <w:sz w:val="18"/>
                <w:szCs w:val="18"/>
              </w:rPr>
            </w:pPr>
            <w:r>
              <w:rPr>
                <w:rFonts w:ascii="Arial" w:hAnsi="Arial"/>
                <w:sz w:val="18"/>
                <w:szCs w:val="18"/>
              </w:rPr>
              <w:t>16</w:t>
            </w:r>
          </w:p>
        </w:tc>
        <w:tc>
          <w:tcPr>
            <w:tcW w:w="992" w:type="dxa"/>
            <w:tcBorders>
              <w:top w:val="single" w:color="000000" w:sz="2" w:space="0"/>
              <w:left w:val="single" w:color="000000" w:sz="2" w:space="0"/>
              <w:bottom w:val="single" w:color="000000" w:sz="2" w:space="0"/>
              <w:right w:val="single" w:color="000000" w:sz="2" w:space="0"/>
            </w:tcBorders>
            <w:vAlign w:val="center"/>
          </w:tcPr>
          <w:p w14:paraId="366131BD">
            <w:pPr>
              <w:jc w:val="center"/>
              <w:rPr>
                <w:rFonts w:ascii="Arial" w:hAnsi="Arial"/>
                <w:sz w:val="18"/>
                <w:szCs w:val="18"/>
              </w:rPr>
            </w:pPr>
            <w:r>
              <w:rPr>
                <w:rFonts w:ascii="Arial" w:hAnsi="Arial"/>
                <w:sz w:val="18"/>
                <w:szCs w:val="18"/>
              </w:rPr>
              <w:t>296120</w:t>
            </w:r>
          </w:p>
        </w:tc>
        <w:tc>
          <w:tcPr>
            <w:tcW w:w="3828" w:type="dxa"/>
            <w:tcBorders>
              <w:top w:val="single" w:color="000000" w:sz="2" w:space="0"/>
              <w:left w:val="single" w:color="000000" w:sz="2" w:space="0"/>
              <w:bottom w:val="single" w:color="000000" w:sz="2" w:space="0"/>
              <w:right w:val="single" w:color="000000" w:sz="2" w:space="0"/>
            </w:tcBorders>
            <w:vAlign w:val="center"/>
          </w:tcPr>
          <w:p w14:paraId="0B4F39F6">
            <w:pPr>
              <w:jc w:val="both"/>
              <w:rPr>
                <w:rFonts w:ascii="Arial" w:hAnsi="Arial" w:cs="Arial"/>
                <w:sz w:val="18"/>
                <w:szCs w:val="18"/>
              </w:rPr>
            </w:pPr>
            <w:r>
              <w:rPr>
                <w:rFonts w:ascii="Arial" w:hAnsi="Arial" w:cs="Arial"/>
                <w:sz w:val="18"/>
                <w:szCs w:val="18"/>
              </w:rPr>
              <w:t>Oxibuprocaína Concentração: 4 MG/ML, Forma Farmacêutica: Solução Oftálmica</w:t>
            </w:r>
          </w:p>
        </w:tc>
        <w:tc>
          <w:tcPr>
            <w:tcW w:w="1134" w:type="dxa"/>
            <w:tcBorders>
              <w:top w:val="single" w:color="000000" w:sz="2" w:space="0"/>
              <w:left w:val="single" w:color="000000" w:sz="2" w:space="0"/>
              <w:bottom w:val="single" w:color="000000" w:sz="2" w:space="0"/>
              <w:right w:val="single" w:color="000000" w:sz="2" w:space="0"/>
            </w:tcBorders>
            <w:vAlign w:val="center"/>
          </w:tcPr>
          <w:p w14:paraId="385D42A3">
            <w:pPr>
              <w:jc w:val="center"/>
              <w:rPr>
                <w:rFonts w:ascii="Arial" w:hAnsi="Arial"/>
                <w:sz w:val="18"/>
                <w:szCs w:val="18"/>
              </w:rPr>
            </w:pPr>
            <w:r>
              <w:rPr>
                <w:rFonts w:ascii="Arial" w:hAnsi="Arial"/>
                <w:sz w:val="18"/>
                <w:szCs w:val="18"/>
              </w:rPr>
              <w:t>Frasco 10 ML</w:t>
            </w:r>
          </w:p>
        </w:tc>
        <w:tc>
          <w:tcPr>
            <w:tcW w:w="992" w:type="dxa"/>
            <w:tcBorders>
              <w:top w:val="single" w:color="000000" w:sz="2" w:space="0"/>
              <w:left w:val="single" w:color="000000" w:sz="2" w:space="0"/>
              <w:bottom w:val="single" w:color="000000" w:sz="2" w:space="0"/>
              <w:right w:val="single" w:color="000000" w:sz="8" w:space="0"/>
            </w:tcBorders>
            <w:vAlign w:val="center"/>
          </w:tcPr>
          <w:p w14:paraId="0BB785F5">
            <w:pPr>
              <w:jc w:val="center"/>
              <w:rPr>
                <w:rFonts w:ascii="Arial" w:hAnsi="Arial"/>
                <w:sz w:val="18"/>
                <w:szCs w:val="18"/>
              </w:rPr>
            </w:pPr>
            <w:r>
              <w:rPr>
                <w:rFonts w:ascii="Arial" w:hAnsi="Arial"/>
                <w:sz w:val="18"/>
                <w:szCs w:val="18"/>
              </w:rPr>
              <w:t>50</w:t>
            </w:r>
          </w:p>
        </w:tc>
        <w:tc>
          <w:tcPr>
            <w:tcW w:w="1134" w:type="dxa"/>
            <w:tcBorders>
              <w:top w:val="single" w:color="000000" w:sz="2" w:space="0"/>
              <w:left w:val="single" w:color="000000" w:sz="2" w:space="0"/>
              <w:bottom w:val="single" w:color="000000" w:sz="2" w:space="0"/>
              <w:right w:val="single" w:color="000000" w:sz="8" w:space="0"/>
            </w:tcBorders>
          </w:tcPr>
          <w:p w14:paraId="517CC0B6">
            <w:pPr>
              <w:jc w:val="center"/>
              <w:rPr>
                <w:rFonts w:ascii="Arial" w:hAnsi="Arial"/>
                <w:sz w:val="18"/>
                <w:szCs w:val="18"/>
              </w:rPr>
            </w:pPr>
            <w:r>
              <w:rPr>
                <w:rFonts w:ascii="Arial" w:hAnsi="Arial" w:eastAsia="Times New Roman"/>
                <w:sz w:val="18"/>
                <w:szCs w:val="18"/>
              </w:rPr>
              <w:t>R$ 25,13</w:t>
            </w:r>
          </w:p>
        </w:tc>
        <w:tc>
          <w:tcPr>
            <w:tcW w:w="1276" w:type="dxa"/>
            <w:tcBorders>
              <w:top w:val="single" w:color="000000" w:sz="2" w:space="0"/>
              <w:left w:val="single" w:color="000000" w:sz="2" w:space="0"/>
              <w:bottom w:val="single" w:color="000000" w:sz="2" w:space="0"/>
              <w:right w:val="single" w:color="000000" w:sz="8" w:space="0"/>
            </w:tcBorders>
          </w:tcPr>
          <w:p w14:paraId="6FA1C924">
            <w:pPr>
              <w:jc w:val="center"/>
              <w:rPr>
                <w:rFonts w:ascii="Arial" w:hAnsi="Arial"/>
                <w:sz w:val="18"/>
                <w:szCs w:val="18"/>
              </w:rPr>
            </w:pPr>
            <w:r>
              <w:rPr>
                <w:rFonts w:ascii="Arial" w:hAnsi="Arial" w:eastAsia="Times New Roman"/>
                <w:sz w:val="18"/>
                <w:szCs w:val="18"/>
              </w:rPr>
              <w:t>R$ 1.256,50</w:t>
            </w:r>
          </w:p>
        </w:tc>
      </w:tr>
      <w:tr w14:paraId="14AD8E26">
        <w:tblPrEx>
          <w:tblCellMar>
            <w:top w:w="47" w:type="dxa"/>
            <w:left w:w="102" w:type="dxa"/>
            <w:bottom w:w="1" w:type="dxa"/>
            <w:right w:w="48" w:type="dxa"/>
          </w:tblCellMar>
        </w:tblPrEx>
        <w:trPr>
          <w:trHeight w:val="280" w:hRule="atLeast"/>
        </w:trPr>
        <w:tc>
          <w:tcPr>
            <w:tcW w:w="674" w:type="dxa"/>
            <w:tcBorders>
              <w:top w:val="single" w:color="000000" w:sz="2" w:space="0"/>
              <w:left w:val="single" w:color="000000" w:sz="8" w:space="0"/>
              <w:bottom w:val="single" w:color="000000" w:sz="2" w:space="0"/>
              <w:right w:val="single" w:color="000000" w:sz="2" w:space="0"/>
            </w:tcBorders>
            <w:vAlign w:val="center"/>
          </w:tcPr>
          <w:p w14:paraId="155DD27E">
            <w:pPr>
              <w:ind w:right="64"/>
              <w:jc w:val="center"/>
              <w:rPr>
                <w:rFonts w:hint="eastAsia" w:ascii="Arial" w:hAnsi="Arial"/>
                <w:sz w:val="18"/>
                <w:szCs w:val="18"/>
              </w:rPr>
            </w:pPr>
            <w:r>
              <w:rPr>
                <w:rFonts w:ascii="Arial" w:hAnsi="Arial"/>
                <w:sz w:val="18"/>
                <w:szCs w:val="18"/>
              </w:rPr>
              <w:t>17</w:t>
            </w:r>
          </w:p>
        </w:tc>
        <w:tc>
          <w:tcPr>
            <w:tcW w:w="992" w:type="dxa"/>
            <w:tcBorders>
              <w:top w:val="single" w:color="000000" w:sz="2" w:space="0"/>
              <w:left w:val="single" w:color="000000" w:sz="2" w:space="0"/>
              <w:bottom w:val="single" w:color="000000" w:sz="2" w:space="0"/>
              <w:right w:val="single" w:color="000000" w:sz="2" w:space="0"/>
            </w:tcBorders>
            <w:vAlign w:val="center"/>
          </w:tcPr>
          <w:p w14:paraId="4E8B92C7">
            <w:pPr>
              <w:jc w:val="center"/>
              <w:rPr>
                <w:rFonts w:ascii="Arial" w:hAnsi="Arial"/>
                <w:sz w:val="18"/>
                <w:szCs w:val="18"/>
              </w:rPr>
            </w:pPr>
            <w:r>
              <w:rPr>
                <w:rFonts w:ascii="Arial" w:hAnsi="Arial"/>
                <w:sz w:val="18"/>
                <w:szCs w:val="18"/>
              </w:rPr>
              <w:t>272329</w:t>
            </w:r>
          </w:p>
        </w:tc>
        <w:tc>
          <w:tcPr>
            <w:tcW w:w="3828" w:type="dxa"/>
            <w:tcBorders>
              <w:top w:val="single" w:color="000000" w:sz="2" w:space="0"/>
              <w:left w:val="single" w:color="000000" w:sz="2" w:space="0"/>
              <w:bottom w:val="single" w:color="000000" w:sz="2" w:space="0"/>
              <w:right w:val="single" w:color="000000" w:sz="2" w:space="0"/>
            </w:tcBorders>
            <w:vAlign w:val="center"/>
          </w:tcPr>
          <w:p w14:paraId="62CC0F1E">
            <w:pPr>
              <w:jc w:val="both"/>
              <w:rPr>
                <w:rFonts w:ascii="Arial" w:hAnsi="Arial" w:cs="Arial"/>
                <w:sz w:val="18"/>
                <w:szCs w:val="18"/>
              </w:rPr>
            </w:pPr>
            <w:r>
              <w:rPr>
                <w:rFonts w:ascii="Arial" w:hAnsi="Arial" w:cs="Arial"/>
                <w:sz w:val="18"/>
                <w:szCs w:val="18"/>
              </w:rPr>
              <w:t>Petidina Cloridrato Dosagem: 50 MG/ML, Apresentação: Solução Injetável</w:t>
            </w:r>
          </w:p>
        </w:tc>
        <w:tc>
          <w:tcPr>
            <w:tcW w:w="1134" w:type="dxa"/>
            <w:tcBorders>
              <w:top w:val="single" w:color="000000" w:sz="2" w:space="0"/>
              <w:left w:val="single" w:color="000000" w:sz="2" w:space="0"/>
              <w:bottom w:val="single" w:color="000000" w:sz="2" w:space="0"/>
              <w:right w:val="single" w:color="000000" w:sz="2" w:space="0"/>
            </w:tcBorders>
            <w:vAlign w:val="center"/>
          </w:tcPr>
          <w:p w14:paraId="0C34DCE1">
            <w:pPr>
              <w:jc w:val="center"/>
              <w:rPr>
                <w:rFonts w:ascii="Arial" w:hAnsi="Arial"/>
                <w:sz w:val="18"/>
                <w:szCs w:val="18"/>
              </w:rPr>
            </w:pPr>
            <w:r>
              <w:rPr>
                <w:rFonts w:ascii="Arial" w:hAnsi="Arial"/>
                <w:sz w:val="18"/>
                <w:szCs w:val="18"/>
              </w:rPr>
              <w:t>Ampola 2 ML</w:t>
            </w:r>
          </w:p>
        </w:tc>
        <w:tc>
          <w:tcPr>
            <w:tcW w:w="992" w:type="dxa"/>
            <w:tcBorders>
              <w:top w:val="single" w:color="000000" w:sz="2" w:space="0"/>
              <w:left w:val="single" w:color="000000" w:sz="2" w:space="0"/>
              <w:bottom w:val="single" w:color="000000" w:sz="2" w:space="0"/>
              <w:right w:val="single" w:color="000000" w:sz="8" w:space="0"/>
            </w:tcBorders>
            <w:vAlign w:val="center"/>
          </w:tcPr>
          <w:p w14:paraId="742072F4">
            <w:pPr>
              <w:jc w:val="center"/>
              <w:rPr>
                <w:rFonts w:ascii="Arial" w:hAnsi="Arial"/>
                <w:sz w:val="18"/>
                <w:szCs w:val="18"/>
              </w:rPr>
            </w:pPr>
            <w:r>
              <w:rPr>
                <w:rFonts w:ascii="Arial" w:hAnsi="Arial"/>
                <w:sz w:val="18"/>
                <w:szCs w:val="18"/>
              </w:rPr>
              <w:t>50</w:t>
            </w:r>
          </w:p>
        </w:tc>
        <w:tc>
          <w:tcPr>
            <w:tcW w:w="1134" w:type="dxa"/>
            <w:tcBorders>
              <w:top w:val="single" w:color="000000" w:sz="2" w:space="0"/>
              <w:left w:val="single" w:color="000000" w:sz="2" w:space="0"/>
              <w:bottom w:val="single" w:color="000000" w:sz="2" w:space="0"/>
              <w:right w:val="single" w:color="000000" w:sz="8" w:space="0"/>
            </w:tcBorders>
          </w:tcPr>
          <w:p w14:paraId="68D1065E">
            <w:pPr>
              <w:jc w:val="center"/>
              <w:rPr>
                <w:rFonts w:ascii="Arial" w:hAnsi="Arial"/>
                <w:sz w:val="18"/>
                <w:szCs w:val="18"/>
              </w:rPr>
            </w:pPr>
            <w:r>
              <w:rPr>
                <w:rFonts w:ascii="Arial" w:hAnsi="Arial" w:eastAsia="Times New Roman"/>
                <w:sz w:val="18"/>
                <w:szCs w:val="18"/>
              </w:rPr>
              <w:t>R$ 5,44</w:t>
            </w:r>
          </w:p>
        </w:tc>
        <w:tc>
          <w:tcPr>
            <w:tcW w:w="1276" w:type="dxa"/>
            <w:tcBorders>
              <w:top w:val="single" w:color="000000" w:sz="2" w:space="0"/>
              <w:left w:val="single" w:color="000000" w:sz="2" w:space="0"/>
              <w:bottom w:val="single" w:color="000000" w:sz="2" w:space="0"/>
              <w:right w:val="single" w:color="000000" w:sz="8" w:space="0"/>
            </w:tcBorders>
          </w:tcPr>
          <w:p w14:paraId="270AE0C8">
            <w:pPr>
              <w:jc w:val="center"/>
              <w:rPr>
                <w:rFonts w:ascii="Arial" w:hAnsi="Arial"/>
                <w:sz w:val="18"/>
                <w:szCs w:val="18"/>
              </w:rPr>
            </w:pPr>
            <w:r>
              <w:rPr>
                <w:rFonts w:ascii="Arial" w:hAnsi="Arial" w:eastAsia="Times New Roman"/>
                <w:sz w:val="18"/>
                <w:szCs w:val="18"/>
              </w:rPr>
              <w:t>R$ 272,00</w:t>
            </w:r>
          </w:p>
        </w:tc>
      </w:tr>
      <w:tr w14:paraId="719D1126">
        <w:tblPrEx>
          <w:tblCellMar>
            <w:top w:w="47" w:type="dxa"/>
            <w:left w:w="102" w:type="dxa"/>
            <w:bottom w:w="1" w:type="dxa"/>
            <w:right w:w="48" w:type="dxa"/>
          </w:tblCellMar>
        </w:tblPrEx>
        <w:trPr>
          <w:trHeight w:val="280" w:hRule="atLeast"/>
        </w:trPr>
        <w:tc>
          <w:tcPr>
            <w:tcW w:w="674" w:type="dxa"/>
            <w:tcBorders>
              <w:top w:val="single" w:color="000000" w:sz="2" w:space="0"/>
              <w:left w:val="single" w:color="000000" w:sz="8" w:space="0"/>
              <w:bottom w:val="single" w:color="000000" w:sz="2" w:space="0"/>
              <w:right w:val="single" w:color="000000" w:sz="2" w:space="0"/>
            </w:tcBorders>
            <w:vAlign w:val="center"/>
          </w:tcPr>
          <w:p w14:paraId="5413762F">
            <w:pPr>
              <w:ind w:right="64"/>
              <w:jc w:val="center"/>
              <w:rPr>
                <w:rFonts w:hint="eastAsia" w:ascii="Arial" w:hAnsi="Arial"/>
                <w:sz w:val="18"/>
                <w:szCs w:val="18"/>
              </w:rPr>
            </w:pPr>
            <w:r>
              <w:rPr>
                <w:rFonts w:ascii="Arial" w:hAnsi="Arial"/>
                <w:sz w:val="18"/>
                <w:szCs w:val="18"/>
              </w:rPr>
              <w:t>18</w:t>
            </w:r>
          </w:p>
        </w:tc>
        <w:tc>
          <w:tcPr>
            <w:tcW w:w="992" w:type="dxa"/>
            <w:tcBorders>
              <w:top w:val="single" w:color="000000" w:sz="2" w:space="0"/>
              <w:left w:val="single" w:color="000000" w:sz="2" w:space="0"/>
              <w:bottom w:val="single" w:color="000000" w:sz="2" w:space="0"/>
              <w:right w:val="single" w:color="000000" w:sz="2" w:space="0"/>
            </w:tcBorders>
            <w:vAlign w:val="center"/>
          </w:tcPr>
          <w:p w14:paraId="3C68835E">
            <w:pPr>
              <w:jc w:val="center"/>
              <w:rPr>
                <w:rFonts w:ascii="Arial" w:hAnsi="Arial"/>
                <w:sz w:val="18"/>
                <w:szCs w:val="18"/>
              </w:rPr>
            </w:pPr>
            <w:r>
              <w:rPr>
                <w:rFonts w:ascii="Arial" w:hAnsi="Arial"/>
                <w:sz w:val="18"/>
                <w:szCs w:val="18"/>
              </w:rPr>
              <w:t>305935</w:t>
            </w:r>
          </w:p>
        </w:tc>
        <w:tc>
          <w:tcPr>
            <w:tcW w:w="3828" w:type="dxa"/>
            <w:tcBorders>
              <w:top w:val="single" w:color="000000" w:sz="2" w:space="0"/>
              <w:left w:val="single" w:color="000000" w:sz="2" w:space="0"/>
              <w:bottom w:val="single" w:color="000000" w:sz="2" w:space="0"/>
              <w:right w:val="single" w:color="000000" w:sz="2" w:space="0"/>
            </w:tcBorders>
            <w:vAlign w:val="center"/>
          </w:tcPr>
          <w:p w14:paraId="5D8BB672">
            <w:pPr>
              <w:jc w:val="both"/>
              <w:rPr>
                <w:rFonts w:ascii="Arial" w:hAnsi="Arial" w:cs="Arial"/>
                <w:sz w:val="18"/>
                <w:szCs w:val="18"/>
              </w:rPr>
            </w:pPr>
            <w:r>
              <w:rPr>
                <w:rFonts w:ascii="Arial" w:hAnsi="Arial" w:cs="Arial"/>
                <w:sz w:val="18"/>
                <w:szCs w:val="18"/>
              </w:rPr>
              <w:t>Propofol Dosagem: 10 MG/ML, Forma Farmacêutica: Emulsão Injetável</w:t>
            </w:r>
          </w:p>
        </w:tc>
        <w:tc>
          <w:tcPr>
            <w:tcW w:w="1134" w:type="dxa"/>
            <w:tcBorders>
              <w:top w:val="single" w:color="000000" w:sz="2" w:space="0"/>
              <w:left w:val="single" w:color="000000" w:sz="2" w:space="0"/>
              <w:bottom w:val="single" w:color="000000" w:sz="2" w:space="0"/>
              <w:right w:val="single" w:color="000000" w:sz="2" w:space="0"/>
            </w:tcBorders>
            <w:vAlign w:val="center"/>
          </w:tcPr>
          <w:p w14:paraId="6DDEA5DF">
            <w:pPr>
              <w:jc w:val="center"/>
              <w:rPr>
                <w:rFonts w:ascii="Arial" w:hAnsi="Arial"/>
                <w:sz w:val="18"/>
                <w:szCs w:val="18"/>
              </w:rPr>
            </w:pPr>
            <w:r>
              <w:rPr>
                <w:rFonts w:ascii="Arial" w:hAnsi="Arial"/>
                <w:sz w:val="18"/>
                <w:szCs w:val="18"/>
              </w:rPr>
              <w:t>Ampola 20 ML</w:t>
            </w:r>
          </w:p>
        </w:tc>
        <w:tc>
          <w:tcPr>
            <w:tcW w:w="992" w:type="dxa"/>
            <w:tcBorders>
              <w:top w:val="single" w:color="000000" w:sz="2" w:space="0"/>
              <w:left w:val="single" w:color="000000" w:sz="2" w:space="0"/>
              <w:bottom w:val="single" w:color="000000" w:sz="2" w:space="0"/>
              <w:right w:val="single" w:color="000000" w:sz="8" w:space="0"/>
            </w:tcBorders>
            <w:vAlign w:val="center"/>
          </w:tcPr>
          <w:p w14:paraId="112B8BDF">
            <w:pPr>
              <w:jc w:val="center"/>
              <w:rPr>
                <w:rFonts w:ascii="Arial" w:hAnsi="Arial"/>
                <w:sz w:val="18"/>
                <w:szCs w:val="18"/>
              </w:rPr>
            </w:pPr>
            <w:r>
              <w:rPr>
                <w:rFonts w:ascii="Arial" w:hAnsi="Arial"/>
                <w:sz w:val="18"/>
                <w:szCs w:val="18"/>
              </w:rPr>
              <w:t>2000</w:t>
            </w:r>
          </w:p>
        </w:tc>
        <w:tc>
          <w:tcPr>
            <w:tcW w:w="1134" w:type="dxa"/>
            <w:tcBorders>
              <w:top w:val="single" w:color="000000" w:sz="2" w:space="0"/>
              <w:left w:val="single" w:color="000000" w:sz="2" w:space="0"/>
              <w:bottom w:val="single" w:color="000000" w:sz="2" w:space="0"/>
              <w:right w:val="single" w:color="000000" w:sz="8" w:space="0"/>
            </w:tcBorders>
          </w:tcPr>
          <w:p w14:paraId="31B26DB2">
            <w:pPr>
              <w:jc w:val="center"/>
              <w:rPr>
                <w:rFonts w:ascii="Arial" w:hAnsi="Arial"/>
                <w:sz w:val="18"/>
                <w:szCs w:val="18"/>
              </w:rPr>
            </w:pPr>
            <w:r>
              <w:rPr>
                <w:rFonts w:ascii="Arial" w:hAnsi="Arial" w:eastAsia="Times New Roman"/>
                <w:sz w:val="18"/>
                <w:szCs w:val="18"/>
              </w:rPr>
              <w:t>R$ 13,18</w:t>
            </w:r>
          </w:p>
        </w:tc>
        <w:tc>
          <w:tcPr>
            <w:tcW w:w="1276" w:type="dxa"/>
            <w:tcBorders>
              <w:top w:val="single" w:color="000000" w:sz="2" w:space="0"/>
              <w:left w:val="single" w:color="000000" w:sz="2" w:space="0"/>
              <w:bottom w:val="single" w:color="000000" w:sz="2" w:space="0"/>
              <w:right w:val="single" w:color="000000" w:sz="8" w:space="0"/>
            </w:tcBorders>
          </w:tcPr>
          <w:p w14:paraId="70E2CD33">
            <w:pPr>
              <w:jc w:val="center"/>
              <w:rPr>
                <w:rFonts w:ascii="Arial" w:hAnsi="Arial"/>
                <w:sz w:val="18"/>
                <w:szCs w:val="18"/>
              </w:rPr>
            </w:pPr>
            <w:r>
              <w:rPr>
                <w:rFonts w:ascii="Arial" w:hAnsi="Arial" w:eastAsia="Times New Roman"/>
                <w:sz w:val="18"/>
                <w:szCs w:val="18"/>
              </w:rPr>
              <w:t>R$ 26.360,00</w:t>
            </w:r>
          </w:p>
        </w:tc>
      </w:tr>
      <w:tr w14:paraId="72428207">
        <w:tblPrEx>
          <w:tblCellMar>
            <w:top w:w="47" w:type="dxa"/>
            <w:left w:w="102" w:type="dxa"/>
            <w:bottom w:w="1" w:type="dxa"/>
            <w:right w:w="48" w:type="dxa"/>
          </w:tblCellMar>
        </w:tblPrEx>
        <w:trPr>
          <w:trHeight w:val="280" w:hRule="atLeast"/>
        </w:trPr>
        <w:tc>
          <w:tcPr>
            <w:tcW w:w="674" w:type="dxa"/>
            <w:tcBorders>
              <w:top w:val="single" w:color="000000" w:sz="2" w:space="0"/>
              <w:left w:val="single" w:color="000000" w:sz="8" w:space="0"/>
              <w:bottom w:val="single" w:color="000000" w:sz="2" w:space="0"/>
              <w:right w:val="single" w:color="000000" w:sz="2" w:space="0"/>
            </w:tcBorders>
            <w:vAlign w:val="center"/>
          </w:tcPr>
          <w:p w14:paraId="667E06BF">
            <w:pPr>
              <w:ind w:right="64"/>
              <w:jc w:val="center"/>
              <w:rPr>
                <w:rFonts w:hint="eastAsia" w:ascii="Arial" w:hAnsi="Arial"/>
                <w:sz w:val="18"/>
                <w:szCs w:val="18"/>
              </w:rPr>
            </w:pPr>
            <w:r>
              <w:rPr>
                <w:rFonts w:ascii="Arial" w:hAnsi="Arial"/>
                <w:sz w:val="18"/>
                <w:szCs w:val="18"/>
              </w:rPr>
              <w:t>19</w:t>
            </w:r>
          </w:p>
        </w:tc>
        <w:tc>
          <w:tcPr>
            <w:tcW w:w="992" w:type="dxa"/>
            <w:tcBorders>
              <w:top w:val="single" w:color="000000" w:sz="2" w:space="0"/>
              <w:left w:val="single" w:color="000000" w:sz="2" w:space="0"/>
              <w:bottom w:val="single" w:color="000000" w:sz="2" w:space="0"/>
              <w:right w:val="single" w:color="000000" w:sz="2" w:space="0"/>
            </w:tcBorders>
            <w:vAlign w:val="center"/>
          </w:tcPr>
          <w:p w14:paraId="73DDB049">
            <w:pPr>
              <w:jc w:val="center"/>
              <w:rPr>
                <w:rFonts w:ascii="Arial" w:hAnsi="Arial"/>
                <w:sz w:val="18"/>
                <w:szCs w:val="18"/>
              </w:rPr>
            </w:pPr>
            <w:r>
              <w:rPr>
                <w:rFonts w:ascii="Arial" w:hAnsi="Arial"/>
                <w:sz w:val="18"/>
                <w:szCs w:val="18"/>
              </w:rPr>
              <w:t>292382</w:t>
            </w:r>
          </w:p>
        </w:tc>
        <w:tc>
          <w:tcPr>
            <w:tcW w:w="3828" w:type="dxa"/>
            <w:tcBorders>
              <w:top w:val="single" w:color="000000" w:sz="2" w:space="0"/>
              <w:left w:val="single" w:color="000000" w:sz="2" w:space="0"/>
              <w:bottom w:val="single" w:color="000000" w:sz="2" w:space="0"/>
              <w:right w:val="single" w:color="000000" w:sz="2" w:space="0"/>
            </w:tcBorders>
            <w:vAlign w:val="center"/>
          </w:tcPr>
          <w:p w14:paraId="4DF1501C">
            <w:pPr>
              <w:jc w:val="both"/>
              <w:rPr>
                <w:rFonts w:ascii="Arial" w:hAnsi="Arial" w:cs="Arial"/>
                <w:sz w:val="18"/>
                <w:szCs w:val="18"/>
              </w:rPr>
            </w:pPr>
            <w:r>
              <w:rPr>
                <w:rFonts w:ascii="Arial" w:hAnsi="Arial" w:cs="Arial"/>
                <w:sz w:val="18"/>
                <w:szCs w:val="18"/>
              </w:rPr>
              <w:t>Tramadol Cloridrato Dosagem: 50 MG/ML, Forma Farmacêutica: Solução Injetável</w:t>
            </w:r>
          </w:p>
        </w:tc>
        <w:tc>
          <w:tcPr>
            <w:tcW w:w="1134" w:type="dxa"/>
            <w:tcBorders>
              <w:top w:val="single" w:color="000000" w:sz="2" w:space="0"/>
              <w:left w:val="single" w:color="000000" w:sz="2" w:space="0"/>
              <w:bottom w:val="single" w:color="000000" w:sz="2" w:space="0"/>
              <w:right w:val="single" w:color="000000" w:sz="2" w:space="0"/>
            </w:tcBorders>
            <w:vAlign w:val="center"/>
          </w:tcPr>
          <w:p w14:paraId="10527A2E">
            <w:pPr>
              <w:jc w:val="center"/>
              <w:rPr>
                <w:rFonts w:ascii="Arial" w:hAnsi="Arial"/>
                <w:sz w:val="18"/>
                <w:szCs w:val="18"/>
              </w:rPr>
            </w:pPr>
            <w:r>
              <w:rPr>
                <w:rFonts w:ascii="Arial" w:hAnsi="Arial"/>
                <w:sz w:val="18"/>
                <w:szCs w:val="18"/>
              </w:rPr>
              <w:t>Ampola 2 ML</w:t>
            </w:r>
          </w:p>
        </w:tc>
        <w:tc>
          <w:tcPr>
            <w:tcW w:w="992" w:type="dxa"/>
            <w:tcBorders>
              <w:top w:val="single" w:color="000000" w:sz="2" w:space="0"/>
              <w:left w:val="single" w:color="000000" w:sz="2" w:space="0"/>
              <w:bottom w:val="single" w:color="000000" w:sz="2" w:space="0"/>
              <w:right w:val="single" w:color="000000" w:sz="8" w:space="0"/>
            </w:tcBorders>
            <w:vAlign w:val="center"/>
          </w:tcPr>
          <w:p w14:paraId="1F3DFF94">
            <w:pPr>
              <w:jc w:val="center"/>
              <w:rPr>
                <w:rFonts w:ascii="Arial" w:hAnsi="Arial"/>
                <w:sz w:val="18"/>
                <w:szCs w:val="18"/>
              </w:rPr>
            </w:pPr>
            <w:r>
              <w:rPr>
                <w:rFonts w:ascii="Arial" w:hAnsi="Arial"/>
                <w:sz w:val="18"/>
                <w:szCs w:val="18"/>
              </w:rPr>
              <w:t>50</w:t>
            </w:r>
          </w:p>
        </w:tc>
        <w:tc>
          <w:tcPr>
            <w:tcW w:w="1134" w:type="dxa"/>
            <w:tcBorders>
              <w:top w:val="single" w:color="000000" w:sz="2" w:space="0"/>
              <w:left w:val="single" w:color="000000" w:sz="2" w:space="0"/>
              <w:bottom w:val="single" w:color="000000" w:sz="2" w:space="0"/>
              <w:right w:val="single" w:color="000000" w:sz="8" w:space="0"/>
            </w:tcBorders>
          </w:tcPr>
          <w:p w14:paraId="7D80446F">
            <w:pPr>
              <w:jc w:val="center"/>
              <w:rPr>
                <w:rFonts w:ascii="Arial" w:hAnsi="Arial"/>
                <w:sz w:val="18"/>
                <w:szCs w:val="18"/>
              </w:rPr>
            </w:pPr>
            <w:r>
              <w:rPr>
                <w:rFonts w:ascii="Arial" w:hAnsi="Arial" w:eastAsia="Times New Roman"/>
                <w:sz w:val="18"/>
                <w:szCs w:val="18"/>
              </w:rPr>
              <w:t>R$ 2,93</w:t>
            </w:r>
          </w:p>
        </w:tc>
        <w:tc>
          <w:tcPr>
            <w:tcW w:w="1276" w:type="dxa"/>
            <w:tcBorders>
              <w:top w:val="single" w:color="000000" w:sz="2" w:space="0"/>
              <w:left w:val="single" w:color="000000" w:sz="2" w:space="0"/>
              <w:bottom w:val="single" w:color="000000" w:sz="2" w:space="0"/>
              <w:right w:val="single" w:color="000000" w:sz="8" w:space="0"/>
            </w:tcBorders>
          </w:tcPr>
          <w:p w14:paraId="21C743F5">
            <w:pPr>
              <w:jc w:val="center"/>
              <w:rPr>
                <w:rFonts w:ascii="Arial" w:hAnsi="Arial"/>
                <w:sz w:val="18"/>
                <w:szCs w:val="18"/>
              </w:rPr>
            </w:pPr>
            <w:r>
              <w:rPr>
                <w:rFonts w:ascii="Arial" w:hAnsi="Arial" w:eastAsia="Times New Roman"/>
                <w:sz w:val="18"/>
                <w:szCs w:val="18"/>
              </w:rPr>
              <w:t>R$ 146,50</w:t>
            </w:r>
          </w:p>
        </w:tc>
      </w:tr>
    </w:tbl>
    <w:p w14:paraId="20966D55">
      <w:pPr>
        <w:pStyle w:val="29"/>
        <w:numPr>
          <w:ilvl w:val="1"/>
          <w:numId w:val="2"/>
        </w:numPr>
        <w:ind w:left="0" w:right="-427" w:firstLine="0"/>
        <w:rPr>
          <w:rFonts w:ascii="Arial Narrow" w:hAnsi="Arial Narrow" w:cs="Arial"/>
        </w:rPr>
      </w:pPr>
      <w:r>
        <w:t>A natureza do objeto a ser contratado é comum, possuindo padrões de desempenho e qualidade que podem ser objetivamente definidos, por meio de especificações usuais de mercado.</w:t>
      </w:r>
    </w:p>
    <w:p w14:paraId="2F3565A3">
      <w:pPr>
        <w:pStyle w:val="29"/>
        <w:numPr>
          <w:ilvl w:val="1"/>
          <w:numId w:val="2"/>
        </w:numPr>
        <w:ind w:left="0" w:right="-427" w:firstLine="0"/>
      </w:pPr>
      <w:r>
        <w:t>O objeto desta contratação não se enquadra como sendo de bem de luxo, conforme a Resolução nº 02,</w:t>
      </w:r>
      <w:r>
        <w:rPr>
          <w:color w:val="FF0000"/>
        </w:rPr>
        <w:t xml:space="preserve"> </w:t>
      </w:r>
      <w:r>
        <w:t>de 18 de janeiro de 2024, que regulamenta a Lei 14.133/21 no Município de Ribeira do Pombal.</w:t>
      </w:r>
    </w:p>
    <w:p w14:paraId="77164231">
      <w:pPr>
        <w:pStyle w:val="29"/>
        <w:numPr>
          <w:ilvl w:val="1"/>
          <w:numId w:val="2"/>
        </w:numPr>
        <w:ind w:left="0" w:right="-427" w:firstLine="0"/>
      </w:pPr>
      <w:r>
        <w:t>O contrato oferece maior detalhamento das regras que serão aplicadas em relação à vigência da contratação.</w:t>
      </w:r>
    </w:p>
    <w:p w14:paraId="284ADDFF">
      <w:pPr>
        <w:pStyle w:val="29"/>
        <w:numPr>
          <w:ilvl w:val="1"/>
          <w:numId w:val="2"/>
        </w:numPr>
        <w:ind w:left="0" w:right="-427" w:firstLine="0"/>
      </w:pPr>
      <w:r>
        <w:t xml:space="preserve">Caso haja divergência entre a descrição do catálogo CATMAT e a descrição da planilha deste Termo de Referência, permanece estas e não aquelas. </w:t>
      </w:r>
    </w:p>
    <w:tbl>
      <w:tblPr>
        <w:tblStyle w:val="5"/>
        <w:tblW w:w="10140" w:type="dxa"/>
        <w:tblInd w:w="-5" w:type="dxa"/>
        <w:tblLayout w:type="fixed"/>
        <w:tblCellMar>
          <w:top w:w="0" w:type="dxa"/>
          <w:left w:w="70" w:type="dxa"/>
          <w:bottom w:w="0" w:type="dxa"/>
          <w:right w:w="70" w:type="dxa"/>
        </w:tblCellMar>
      </w:tblPr>
      <w:tblGrid>
        <w:gridCol w:w="10140"/>
      </w:tblGrid>
      <w:tr w14:paraId="665DA9D4">
        <w:tblPrEx>
          <w:tblCellMar>
            <w:top w:w="0" w:type="dxa"/>
            <w:left w:w="70" w:type="dxa"/>
            <w:bottom w:w="0" w:type="dxa"/>
            <w:right w:w="70" w:type="dxa"/>
          </w:tblCellMar>
        </w:tblPrEx>
        <w:trPr>
          <w:trHeight w:val="307" w:hRule="atLeast"/>
        </w:trPr>
        <w:tc>
          <w:tcPr>
            <w:tcW w:w="1014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6AE8871">
            <w:pPr>
              <w:pStyle w:val="26"/>
              <w:numPr>
                <w:ilvl w:val="0"/>
                <w:numId w:val="2"/>
              </w:numPr>
              <w:pBdr>
                <w:top w:val="none" w:color="auto" w:sz="0" w:space="0"/>
                <w:left w:val="none" w:color="auto" w:sz="0" w:space="0"/>
                <w:bottom w:val="none" w:color="auto" w:sz="0" w:space="0"/>
                <w:right w:val="none" w:color="auto" w:sz="0" w:space="0"/>
              </w:pBdr>
              <w:rPr>
                <w:rFonts w:hint="eastAsia"/>
                <w:lang w:eastAsia="zh-CN" w:bidi="hi-IN"/>
              </w:rPr>
            </w:pPr>
            <w:r>
              <w:rPr>
                <w:lang w:eastAsia="zh-CN" w:bidi="hi-IN"/>
              </w:rPr>
              <w:t>FUNDAMENTAÇÃO E DESCRIÇÃO DA NECESSIDADE DA CONTRATAÇÃO</w:t>
            </w:r>
          </w:p>
        </w:tc>
      </w:tr>
    </w:tbl>
    <w:p w14:paraId="58CEA982">
      <w:pPr>
        <w:pStyle w:val="35"/>
        <w:numPr>
          <w:ilvl w:val="1"/>
          <w:numId w:val="2"/>
        </w:numPr>
        <w:ind w:left="0" w:right="-427" w:firstLine="0"/>
        <w:rPr>
          <w:rFonts w:ascii="Arial" w:hAnsi="Arial" w:cs="Arial"/>
          <w:i w:val="0"/>
          <w:iCs w:val="0"/>
          <w:color w:val="auto"/>
        </w:rPr>
      </w:pPr>
      <w:r>
        <w:rPr>
          <w:i w:val="0"/>
          <w:iCs w:val="0"/>
          <w:color w:val="auto"/>
        </w:rPr>
        <w:t>A justificativa da contratação baseia-se na necessidade de garantir o suporte farmacológico adequado à realização de procedimentos e exames especializados que demandam a administração de medicamentos controlados e/ou contrastes, tais como ressonâncias magnéticas, tomografias computadorizadas, endoscopias digestivas, além de atendimentos em oftalmologia. Tais procedimentos, por sua natureza técnica e complexidade, exigem o uso de substâncias específicas para sedação, analgesia, controle de ansiedade e afins.</w:t>
      </w:r>
    </w:p>
    <w:p w14:paraId="3E3BCBCE">
      <w:pPr>
        <w:pStyle w:val="35"/>
        <w:numPr>
          <w:ilvl w:val="1"/>
          <w:numId w:val="2"/>
        </w:numPr>
        <w:ind w:left="0" w:right="-427" w:firstLine="0"/>
        <w:rPr>
          <w:i w:val="0"/>
          <w:iCs w:val="0"/>
          <w:color w:val="auto"/>
        </w:rPr>
      </w:pPr>
      <w:r>
        <w:rPr>
          <w:i w:val="0"/>
          <w:iCs w:val="0"/>
          <w:color w:val="auto"/>
        </w:rPr>
        <w:t>Além do uso rotineiro, destaca-se a importância estratégica de manter um estoque de segurança de medicamentos controlados, destinado a possíveis emergências médicas e intercorrências clínicas, garantindo assim a continuidade e a resolutividade do atendimento à população regional. A manutenção desse estoque é fundamental para o pronto atendimento a situações imprevistas e emergenciais, evitando atrasos em procedimentos e minimizando riscos à saúde dos pacientes.</w:t>
      </w:r>
    </w:p>
    <w:p w14:paraId="66704352">
      <w:pPr>
        <w:pStyle w:val="35"/>
        <w:numPr>
          <w:ilvl w:val="1"/>
          <w:numId w:val="2"/>
        </w:numPr>
        <w:ind w:left="0" w:right="-427" w:firstLine="0"/>
        <w:rPr>
          <w:i w:val="0"/>
          <w:iCs w:val="0"/>
          <w:color w:val="auto"/>
        </w:rPr>
      </w:pPr>
      <w:r>
        <w:rPr>
          <w:i w:val="0"/>
          <w:iCs w:val="0"/>
          <w:color w:val="auto"/>
        </w:rPr>
        <w:t>Portanto, a aquisição em tela é imprescindível para o pleno funcionamento da Policlínica Regional, garantindo qualidade, segurança e continuidade no atendimento, em conformidade com os princípios da universalidade, integralidade e equidade do sistema público de saúde.</w:t>
      </w:r>
    </w:p>
    <w:p w14:paraId="292E6050">
      <w:pPr>
        <w:pStyle w:val="35"/>
        <w:numPr>
          <w:ilvl w:val="1"/>
          <w:numId w:val="2"/>
        </w:numPr>
        <w:ind w:left="0" w:right="-427" w:firstLine="0"/>
        <w:rPr>
          <w:i w:val="0"/>
          <w:iCs w:val="0"/>
          <w:color w:val="auto"/>
        </w:rPr>
      </w:pPr>
      <w:r>
        <w:rPr>
          <w:color w:val="auto"/>
        </w:rPr>
        <w:t xml:space="preserve">No que tange a ausência de ETP, a mesma se justifica pelo seguinte exposto: </w:t>
      </w:r>
      <w:r>
        <w:rPr>
          <w:i w:val="0"/>
          <w:iCs w:val="0"/>
          <w:color w:val="auto"/>
        </w:rPr>
        <w:t>Considerando que o presente processo trata de contratação de baixo vulto e complexidade, com objeto padronizado, de uso recorrente e plenamente conhecido pela Administração, optou-se pela não elaboração de Estudo Técnico Preliminar (ETP).</w:t>
      </w:r>
    </w:p>
    <w:p w14:paraId="671E7014">
      <w:pPr>
        <w:pStyle w:val="37"/>
        <w:numPr>
          <w:ilvl w:val="2"/>
          <w:numId w:val="2"/>
        </w:numPr>
        <w:tabs>
          <w:tab w:val="left" w:pos="993"/>
          <w:tab w:val="clear" w:pos="426"/>
        </w:tabs>
        <w:ind w:left="284" w:firstLine="0"/>
      </w:pPr>
      <w:r>
        <w:t>Ressalta-se que as especificações do objeto estão devidamente detalhadas no Termo de Referência, sendo suficientes para assegurar a adequada contratação e atender à necessidade administrativa, sem prejuízo à eficiência, à economicidade ou à transparência do processo.</w:t>
      </w:r>
    </w:p>
    <w:p w14:paraId="5D0D8B80">
      <w:pPr>
        <w:pStyle w:val="35"/>
        <w:numPr>
          <w:ilvl w:val="1"/>
          <w:numId w:val="2"/>
        </w:numPr>
        <w:ind w:left="0" w:right="-427" w:firstLine="0"/>
        <w:rPr>
          <w:i w:val="0"/>
          <w:iCs w:val="0"/>
          <w:color w:val="auto"/>
        </w:rPr>
      </w:pPr>
      <w:r>
        <w:rPr>
          <w:color w:val="auto"/>
        </w:rPr>
        <w:t xml:space="preserve">Quanto à justificativa do parcelamento, O parcelamento da solução será por agrupamento em lote único. </w:t>
      </w:r>
      <w:r>
        <w:rPr>
          <w:i w:val="0"/>
          <w:iCs w:val="0"/>
          <w:color w:val="auto"/>
        </w:rPr>
        <w:t>A opção pelo parcelamento em lote único para a contratação de empresa especializada na aquisição de medicamentos controlados justifica-se pela natureza específica e integrada do objeto, que exige fornecimento padronizado, simultâneo e contínuo de diferentes medicamentos controlados, destinados à realização de procedimentos e exames especializados, bem como à manutenção de estoque de segurança para emergências na Policlínica Regional de Saúde em Ribeira do Pombal, Estado da Bahia.</w:t>
      </w:r>
    </w:p>
    <w:p w14:paraId="6A69B242">
      <w:pPr>
        <w:pStyle w:val="37"/>
        <w:numPr>
          <w:ilvl w:val="2"/>
          <w:numId w:val="2"/>
        </w:numPr>
        <w:tabs>
          <w:tab w:val="left" w:pos="993"/>
          <w:tab w:val="clear" w:pos="426"/>
        </w:tabs>
        <w:ind w:left="284" w:firstLine="0"/>
        <w:rPr>
          <w:color w:val="auto"/>
        </w:rPr>
      </w:pPr>
      <w:r>
        <w:t>A aquisição dos itens em um único lote se faz necessária para garantir a logística eficiente de entrega, padronização do controle sanitário, rastreabilidade dos medicamentos e compatibilidade com os protocolos médicos adotados na unidade de saúde. A contratação de fornecedores distintos para itens isolados, neste caso, poderia comprometer a gestão integrada do estoque, acarretar atrasos na reposição de medicamentos, dificultar o cumprimento das exigências legais quanto ao controle de substâncias sujeitas à Portaria SVS/MS nº 344/1998, além de gerar riscos à continuidade dos atendimentos.</w:t>
      </w:r>
    </w:p>
    <w:p w14:paraId="3C01266E">
      <w:pPr>
        <w:pStyle w:val="37"/>
        <w:numPr>
          <w:ilvl w:val="2"/>
          <w:numId w:val="2"/>
        </w:numPr>
        <w:tabs>
          <w:tab w:val="left" w:pos="993"/>
          <w:tab w:val="clear" w:pos="426"/>
        </w:tabs>
        <w:ind w:left="284" w:firstLine="0"/>
        <w:rPr>
          <w:color w:val="auto"/>
        </w:rPr>
      </w:pPr>
      <w:r>
        <w:rPr>
          <w:color w:val="auto"/>
        </w:rPr>
        <w:t>Ademais, a consolidação dos itens em um único lote permite ganhos de escala, maior competitividade entre empresas do setor, e otimização dos recursos administrativos, reduzindo custos operacionais relacionados à fiscalização, recebimento, controle de qualidade e acompanhamento de contratos diversos.</w:t>
      </w:r>
    </w:p>
    <w:p w14:paraId="0ECAA73E">
      <w:pPr>
        <w:pStyle w:val="37"/>
        <w:numPr>
          <w:ilvl w:val="2"/>
          <w:numId w:val="2"/>
        </w:numPr>
        <w:tabs>
          <w:tab w:val="left" w:pos="993"/>
          <w:tab w:val="clear" w:pos="426"/>
        </w:tabs>
        <w:ind w:left="284" w:firstLine="0"/>
        <w:rPr>
          <w:color w:val="auto"/>
        </w:rPr>
      </w:pPr>
      <w:r>
        <w:rPr>
          <w:color w:val="auto"/>
        </w:rPr>
        <w:t>Assim, diante da interdependência dos itens, da necessidade de fornecimento coordenado e padronizado, e da complexidade operacional e legal envolvida no manuseio de medicamentos controlados, o parcelamento em lote único apresenta-se como a solução mais eficiente, segura e vantajosa para a Administração, atendendo aos princípios da economicidade, eficiência e continuidade do serviço público.</w:t>
      </w:r>
    </w:p>
    <w:tbl>
      <w:tblPr>
        <w:tblStyle w:val="5"/>
        <w:tblW w:w="10140" w:type="dxa"/>
        <w:tblInd w:w="-5" w:type="dxa"/>
        <w:tblLayout w:type="fixed"/>
        <w:tblCellMar>
          <w:top w:w="0" w:type="dxa"/>
          <w:left w:w="70" w:type="dxa"/>
          <w:bottom w:w="0" w:type="dxa"/>
          <w:right w:w="70" w:type="dxa"/>
        </w:tblCellMar>
      </w:tblPr>
      <w:tblGrid>
        <w:gridCol w:w="10140"/>
      </w:tblGrid>
      <w:tr w14:paraId="04468E7D">
        <w:tblPrEx>
          <w:tblCellMar>
            <w:top w:w="0" w:type="dxa"/>
            <w:left w:w="70" w:type="dxa"/>
            <w:bottom w:w="0" w:type="dxa"/>
            <w:right w:w="70" w:type="dxa"/>
          </w:tblCellMar>
        </w:tblPrEx>
        <w:trPr>
          <w:trHeight w:val="307" w:hRule="atLeast"/>
        </w:trPr>
        <w:tc>
          <w:tcPr>
            <w:tcW w:w="1014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02CAE591">
            <w:pPr>
              <w:pStyle w:val="26"/>
              <w:numPr>
                <w:ilvl w:val="0"/>
                <w:numId w:val="2"/>
              </w:numPr>
              <w:pBdr>
                <w:top w:val="none" w:color="auto" w:sz="0" w:space="0"/>
                <w:left w:val="none" w:color="auto" w:sz="0" w:space="0"/>
                <w:bottom w:val="none" w:color="auto" w:sz="0" w:space="0"/>
                <w:right w:val="none" w:color="auto" w:sz="0" w:space="0"/>
              </w:pBdr>
              <w:rPr>
                <w:rFonts w:hint="eastAsia"/>
                <w:lang w:eastAsia="zh-CN" w:bidi="hi-IN"/>
              </w:rPr>
            </w:pPr>
            <w:r>
              <w:rPr>
                <w:lang w:eastAsia="zh-CN" w:bidi="hi-IN"/>
              </w:rPr>
              <w:t>DESCRIÇÃO DA SOLUÇÃO COMO UM TODO CONSIDERADO O CICLO DE VIDA DO OBJETO E ESPECIFICAÇÃO DO PRODUTO</w:t>
            </w:r>
          </w:p>
        </w:tc>
      </w:tr>
    </w:tbl>
    <w:p w14:paraId="717D5DFD">
      <w:pPr>
        <w:pStyle w:val="35"/>
        <w:numPr>
          <w:ilvl w:val="1"/>
          <w:numId w:val="2"/>
        </w:numPr>
        <w:ind w:left="0" w:right="-427" w:firstLine="0"/>
        <w:rPr>
          <w:rFonts w:ascii="Arial" w:hAnsi="Arial" w:cs="Arial"/>
          <w:i w:val="0"/>
          <w:iCs w:val="0"/>
          <w:color w:val="auto"/>
        </w:rPr>
      </w:pPr>
      <w:r>
        <w:rPr>
          <w:i w:val="0"/>
          <w:iCs w:val="0"/>
          <w:color w:val="auto"/>
        </w:rPr>
        <w:t>A presente contratação visa à aquisição de medicamentos controlados, por meio do Sistema de Registro de Preços (SRP), com o objetivo de atender, de forma contínua e eficiente, às demandas da Policlínica Regional de Saúde em Ribeira do Pombal, Estado da Bahia. Os medicamentos a serem adquiridos destinam-se à realização de procedimentos e exames que requerem a administração de substâncias controladas, tais como ressonâncias magnéticas, tomografias computadorizadas, endoscopias digestivas e atendimentos em oftalmologia, bem como à manutenção de estoque de segurança para situações emergenciais.</w:t>
      </w:r>
    </w:p>
    <w:p w14:paraId="359260A4">
      <w:pPr>
        <w:pStyle w:val="35"/>
        <w:numPr>
          <w:ilvl w:val="1"/>
          <w:numId w:val="2"/>
        </w:numPr>
        <w:ind w:left="0" w:right="-427" w:firstLine="0"/>
        <w:rPr>
          <w:i w:val="0"/>
          <w:iCs w:val="0"/>
          <w:color w:val="auto"/>
        </w:rPr>
      </w:pPr>
      <w:r>
        <w:rPr>
          <w:i w:val="0"/>
          <w:iCs w:val="0"/>
          <w:color w:val="auto"/>
        </w:rPr>
        <w:t>A adoção do SRP possibilitará à Administração flexibilidade na gestão do fornecimento, com entregas sob demanda, conforme a real necessidade da unidade, evitando aquisições desnecessárias, perdas por vencimento e otimizando os recursos públicos. A contratação atenderá às exigências legais relacionadas ao controle, armazenamento e rastreabilidade de medicamentos sujeitos a controle especial, conforme normativas da ANVISA e da legislação sanitária vigente.</w:t>
      </w:r>
    </w:p>
    <w:p w14:paraId="59F64F1B">
      <w:pPr>
        <w:pStyle w:val="35"/>
        <w:numPr>
          <w:ilvl w:val="1"/>
          <w:numId w:val="2"/>
        </w:numPr>
        <w:ind w:left="0" w:right="-427" w:firstLine="0"/>
        <w:rPr>
          <w:i w:val="0"/>
          <w:iCs w:val="0"/>
          <w:color w:val="auto"/>
        </w:rPr>
      </w:pPr>
      <w:r>
        <w:rPr>
          <w:i w:val="0"/>
          <w:iCs w:val="0"/>
          <w:color w:val="auto"/>
        </w:rPr>
        <w:t>A solução proposta contempla o fornecimento padronizado, com garantia de qualidade e conformidade técnica, visando assegurar o suporte necessário à continuidade dos serviços de saúde prestados, dentro dos princípios da economicidade, eficiência e interesse público.</w:t>
      </w:r>
    </w:p>
    <w:tbl>
      <w:tblPr>
        <w:tblStyle w:val="5"/>
        <w:tblW w:w="10140" w:type="dxa"/>
        <w:tblInd w:w="-5" w:type="dxa"/>
        <w:tblLayout w:type="fixed"/>
        <w:tblCellMar>
          <w:top w:w="0" w:type="dxa"/>
          <w:left w:w="70" w:type="dxa"/>
          <w:bottom w:w="0" w:type="dxa"/>
          <w:right w:w="70" w:type="dxa"/>
        </w:tblCellMar>
      </w:tblPr>
      <w:tblGrid>
        <w:gridCol w:w="10140"/>
      </w:tblGrid>
      <w:tr w14:paraId="1A6630F5">
        <w:tblPrEx>
          <w:tblCellMar>
            <w:top w:w="0" w:type="dxa"/>
            <w:left w:w="70" w:type="dxa"/>
            <w:bottom w:w="0" w:type="dxa"/>
            <w:right w:w="70" w:type="dxa"/>
          </w:tblCellMar>
        </w:tblPrEx>
        <w:trPr>
          <w:trHeight w:val="307" w:hRule="atLeast"/>
        </w:trPr>
        <w:tc>
          <w:tcPr>
            <w:tcW w:w="1014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98B19CA">
            <w:pPr>
              <w:pStyle w:val="26"/>
              <w:numPr>
                <w:ilvl w:val="0"/>
                <w:numId w:val="2"/>
              </w:numPr>
              <w:pBdr>
                <w:top w:val="none" w:color="auto" w:sz="0" w:space="0"/>
                <w:left w:val="none" w:color="auto" w:sz="0" w:space="0"/>
                <w:bottom w:val="none" w:color="auto" w:sz="0" w:space="0"/>
                <w:right w:val="none" w:color="auto" w:sz="0" w:space="0"/>
              </w:pBdr>
              <w:rPr>
                <w:rFonts w:hint="eastAsia"/>
                <w:lang w:eastAsia="zh-CN" w:bidi="hi-IN"/>
              </w:rPr>
            </w:pPr>
            <w:r>
              <w:rPr>
                <w:lang w:eastAsia="zh-CN" w:bidi="hi-IN"/>
              </w:rPr>
              <w:t>REQUISITOS DA CONTRATAÇÃO</w:t>
            </w:r>
          </w:p>
        </w:tc>
      </w:tr>
    </w:tbl>
    <w:p w14:paraId="1C71CDA0">
      <w:pPr>
        <w:pStyle w:val="29"/>
        <w:numPr>
          <w:ilvl w:val="1"/>
          <w:numId w:val="2"/>
        </w:numPr>
        <w:ind w:left="0" w:right="-427" w:firstLine="0"/>
        <w:rPr>
          <w:rFonts w:ascii="Arial Narrow" w:hAnsi="Arial Narrow" w:cs="Arial"/>
        </w:rPr>
      </w:pPr>
      <w:r>
        <w:t xml:space="preserve">O prazo de vigência da contratação decorrente deste Estudo deverá ser de 12 (doze) meses, podendo ser prorrogado por se tratar de fornecimento contínuo. </w:t>
      </w:r>
    </w:p>
    <w:p w14:paraId="3A9F5EE2">
      <w:pPr>
        <w:pStyle w:val="29"/>
        <w:numPr>
          <w:ilvl w:val="1"/>
          <w:numId w:val="2"/>
        </w:numPr>
        <w:ind w:left="0" w:right="-427" w:firstLine="0"/>
      </w:pPr>
      <w:r>
        <w:rPr>
          <w:rFonts w:ascii="Arial" w:hAnsi="Arial"/>
          <w:b/>
          <w:bCs/>
          <w:sz w:val="20"/>
          <w:szCs w:val="20"/>
        </w:rPr>
        <w:t>Não é admitida a subcontratação do objeto contratual.</w:t>
      </w:r>
    </w:p>
    <w:p w14:paraId="0BE5D0DB">
      <w:pPr>
        <w:pStyle w:val="29"/>
        <w:numPr>
          <w:ilvl w:val="1"/>
          <w:numId w:val="2"/>
        </w:numPr>
        <w:ind w:left="0" w:right="-427" w:firstLine="0"/>
      </w:pPr>
      <w:r>
        <w:rPr>
          <w:rFonts w:ascii="Arial" w:hAnsi="Arial"/>
          <w:b/>
          <w:bCs/>
          <w:sz w:val="20"/>
          <w:szCs w:val="20"/>
        </w:rPr>
        <w:t>Não haverá exigência da garantia da contratação dos artigos 96 e seguintes da Lei nº 14.133, de 2021.</w:t>
      </w:r>
    </w:p>
    <w:p w14:paraId="77F8DEE8">
      <w:pPr>
        <w:pStyle w:val="29"/>
        <w:numPr>
          <w:ilvl w:val="1"/>
          <w:numId w:val="2"/>
        </w:numPr>
        <w:ind w:left="0" w:right="-427" w:firstLine="0"/>
      </w:pPr>
      <w:r>
        <w:rPr>
          <w:rFonts w:ascii="Arial" w:hAnsi="Arial"/>
          <w:sz w:val="20"/>
          <w:szCs w:val="20"/>
        </w:rPr>
        <w:t>A</w:t>
      </w:r>
      <w:r>
        <w:rPr>
          <w:color w:val="auto"/>
        </w:rPr>
        <w:t xml:space="preserve"> empresa contratada será responsável por todos os custos decorrentes da entrega do objeto. </w:t>
      </w:r>
    </w:p>
    <w:p w14:paraId="035856B5">
      <w:pPr>
        <w:pStyle w:val="29"/>
        <w:numPr>
          <w:ilvl w:val="1"/>
          <w:numId w:val="2"/>
        </w:numPr>
        <w:ind w:left="0" w:right="-427" w:firstLine="0"/>
        <w:rPr>
          <w:b/>
          <w:bCs/>
        </w:rPr>
      </w:pPr>
      <w:r>
        <w:rPr>
          <w:rFonts w:ascii="Arial" w:hAnsi="Arial"/>
          <w:b/>
          <w:bCs/>
          <w:sz w:val="20"/>
          <w:szCs w:val="20"/>
        </w:rPr>
        <w:t xml:space="preserve">Requisitos de Qualificação Técnica: </w:t>
      </w:r>
    </w:p>
    <w:p w14:paraId="092D20D2">
      <w:pPr>
        <w:pStyle w:val="37"/>
        <w:numPr>
          <w:ilvl w:val="2"/>
          <w:numId w:val="2"/>
        </w:numPr>
        <w:tabs>
          <w:tab w:val="left" w:pos="993"/>
          <w:tab w:val="clear" w:pos="426"/>
        </w:tabs>
        <w:ind w:left="284" w:firstLine="0"/>
      </w:pPr>
      <w: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E0D00DF">
      <w:pPr>
        <w:pStyle w:val="37"/>
        <w:numPr>
          <w:ilvl w:val="2"/>
          <w:numId w:val="2"/>
        </w:numPr>
        <w:tabs>
          <w:tab w:val="left" w:pos="993"/>
          <w:tab w:val="clear" w:pos="426"/>
        </w:tabs>
        <w:ind w:left="284" w:firstLine="0"/>
      </w:pPr>
      <w:r>
        <w:t>Alvará de Licença Sanitária, expedido pelo órgão competente do Município ou Estado ou Distrito Federal onde for domiciliado o licitante, devidamente válido na forma da legislação específica vigente.</w:t>
      </w:r>
    </w:p>
    <w:p w14:paraId="038515A9">
      <w:pPr>
        <w:pStyle w:val="37"/>
        <w:numPr>
          <w:ilvl w:val="2"/>
          <w:numId w:val="2"/>
        </w:numPr>
        <w:tabs>
          <w:tab w:val="left" w:pos="993"/>
          <w:tab w:val="clear" w:pos="426"/>
        </w:tabs>
        <w:ind w:left="284" w:firstLine="0"/>
      </w:pPr>
      <w:r>
        <w:t>Autorização de Funcionamento de Empresa e Autorização Especial (para medicamentos sujeitos a controle especial constantes na Portaria MS n.º 344/1998 e suas atualizações) do licitante, expedida pela Agência Nacional de Vigilância Sanitária - ANVISA, devidamente válida na forma da legislação específica vigente. Tal comprovação poderá ser feita ainda por meio de cópia da respectiva publicação no Diário Oficial da União ou respectivos “prints” da página do DOU na internet ou “prints” da página da ANVISA na internet, os quais estarão sujeitos à confirmação pelo setor técnico competente;</w:t>
      </w:r>
    </w:p>
    <w:p w14:paraId="4622ADE5">
      <w:pPr>
        <w:pStyle w:val="37"/>
        <w:numPr>
          <w:ilvl w:val="2"/>
          <w:numId w:val="2"/>
        </w:numPr>
        <w:tabs>
          <w:tab w:val="left" w:pos="993"/>
          <w:tab w:val="clear" w:pos="426"/>
        </w:tabs>
        <w:ind w:left="284" w:firstLine="0"/>
      </w:pPr>
      <w:r>
        <w:t xml:space="preserve">Certificado de Registro do Medicamento, expedido pela Agência Nacional de Vigilância Sanitária - ANVISA, devidamente válido na forma da legislação específica vigente ou cópia da respectiva publicação no Diário Oficial da União ou respectivos “prints” da página da ANVISA na internet, os quais estarão sujeitos à confirmação pelo setor técnico competente. </w:t>
      </w:r>
    </w:p>
    <w:tbl>
      <w:tblPr>
        <w:tblStyle w:val="5"/>
        <w:tblW w:w="10140" w:type="dxa"/>
        <w:tblInd w:w="-5" w:type="dxa"/>
        <w:tblLayout w:type="fixed"/>
        <w:tblCellMar>
          <w:top w:w="0" w:type="dxa"/>
          <w:left w:w="70" w:type="dxa"/>
          <w:bottom w:w="0" w:type="dxa"/>
          <w:right w:w="70" w:type="dxa"/>
        </w:tblCellMar>
      </w:tblPr>
      <w:tblGrid>
        <w:gridCol w:w="10140"/>
      </w:tblGrid>
      <w:tr w14:paraId="18C3ABA9">
        <w:tblPrEx>
          <w:tblCellMar>
            <w:top w:w="0" w:type="dxa"/>
            <w:left w:w="70" w:type="dxa"/>
            <w:bottom w:w="0" w:type="dxa"/>
            <w:right w:w="70" w:type="dxa"/>
          </w:tblCellMar>
        </w:tblPrEx>
        <w:trPr>
          <w:trHeight w:val="307" w:hRule="atLeast"/>
        </w:trPr>
        <w:tc>
          <w:tcPr>
            <w:tcW w:w="1014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D107DEC">
            <w:pPr>
              <w:pStyle w:val="26"/>
              <w:numPr>
                <w:ilvl w:val="0"/>
                <w:numId w:val="2"/>
              </w:numPr>
              <w:pBdr>
                <w:top w:val="none" w:color="auto" w:sz="0" w:space="0"/>
                <w:left w:val="none" w:color="auto" w:sz="0" w:space="0"/>
                <w:bottom w:val="none" w:color="auto" w:sz="0" w:space="0"/>
                <w:right w:val="none" w:color="auto" w:sz="0" w:space="0"/>
              </w:pBdr>
              <w:rPr>
                <w:rFonts w:hint="eastAsia"/>
                <w:lang w:eastAsia="zh-CN" w:bidi="hi-IN"/>
              </w:rPr>
            </w:pPr>
            <w:r>
              <w:rPr>
                <w:lang w:eastAsia="zh-CN" w:bidi="hi-IN"/>
              </w:rPr>
              <w:t>MODELO DE EXECUÇÃO DO OBJETO</w:t>
            </w:r>
          </w:p>
        </w:tc>
      </w:tr>
    </w:tbl>
    <w:p w14:paraId="37A5D749">
      <w:pPr>
        <w:pStyle w:val="35"/>
        <w:numPr>
          <w:ilvl w:val="1"/>
          <w:numId w:val="2"/>
        </w:numPr>
        <w:ind w:left="0" w:firstLine="0"/>
        <w:rPr>
          <w:rFonts w:ascii="Arial" w:hAnsi="Arial" w:cs="Arial"/>
          <w:i w:val="0"/>
          <w:iCs w:val="0"/>
          <w:color w:val="000000"/>
        </w:rPr>
      </w:pPr>
      <w:r>
        <w:rPr>
          <w:i w:val="0"/>
          <w:iCs w:val="0"/>
          <w:color w:val="000000"/>
        </w:rPr>
        <w:t xml:space="preserve">O prazo de entrega dos itens é de </w:t>
      </w:r>
      <w:r>
        <w:rPr>
          <w:b/>
          <w:bCs/>
          <w:i w:val="0"/>
          <w:iCs w:val="0"/>
          <w:color w:val="000000"/>
        </w:rPr>
        <w:t>05(cinco) dias</w:t>
      </w:r>
      <w:r>
        <w:rPr>
          <w:i w:val="0"/>
          <w:iCs w:val="0"/>
          <w:color w:val="000000"/>
        </w:rPr>
        <w:t>, contados do recebimento da autorização de fornecimento expedida pelo setor competente.</w:t>
      </w:r>
    </w:p>
    <w:p w14:paraId="1DBD8D9D">
      <w:pPr>
        <w:pStyle w:val="35"/>
        <w:numPr>
          <w:ilvl w:val="2"/>
          <w:numId w:val="2"/>
        </w:numPr>
        <w:ind w:left="0" w:firstLine="0"/>
        <w:rPr>
          <w:color w:val="000000"/>
        </w:rPr>
      </w:pPr>
      <w:r>
        <w:rPr>
          <w:i w:val="0"/>
          <w:iCs w:val="0"/>
          <w:color w:val="000000"/>
        </w:rPr>
        <w:t>Os itens deverão serão entregues na Policlínica Regional de saúde em Ribeira do Pombal, aos cuidados do fiscal do contrato designado.</w:t>
      </w:r>
    </w:p>
    <w:p w14:paraId="0858CD03">
      <w:pPr>
        <w:pStyle w:val="29"/>
        <w:numPr>
          <w:ilvl w:val="1"/>
          <w:numId w:val="2"/>
        </w:numPr>
        <w:ind w:left="0" w:firstLine="0"/>
      </w:pPr>
      <w:r>
        <w:t xml:space="preserve">O fornecimento será parcelado e conforme demanda.  </w:t>
      </w:r>
    </w:p>
    <w:tbl>
      <w:tblPr>
        <w:tblStyle w:val="5"/>
        <w:tblW w:w="10140" w:type="dxa"/>
        <w:tblInd w:w="-5" w:type="dxa"/>
        <w:tblLayout w:type="fixed"/>
        <w:tblCellMar>
          <w:top w:w="0" w:type="dxa"/>
          <w:left w:w="70" w:type="dxa"/>
          <w:bottom w:w="0" w:type="dxa"/>
          <w:right w:w="70" w:type="dxa"/>
        </w:tblCellMar>
      </w:tblPr>
      <w:tblGrid>
        <w:gridCol w:w="10140"/>
      </w:tblGrid>
      <w:tr w14:paraId="5C7B44ED">
        <w:tblPrEx>
          <w:tblCellMar>
            <w:top w:w="0" w:type="dxa"/>
            <w:left w:w="70" w:type="dxa"/>
            <w:bottom w:w="0" w:type="dxa"/>
            <w:right w:w="70" w:type="dxa"/>
          </w:tblCellMar>
        </w:tblPrEx>
        <w:trPr>
          <w:trHeight w:val="307" w:hRule="atLeast"/>
        </w:trPr>
        <w:tc>
          <w:tcPr>
            <w:tcW w:w="1014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3D5DD91">
            <w:pPr>
              <w:pStyle w:val="26"/>
              <w:numPr>
                <w:ilvl w:val="0"/>
                <w:numId w:val="2"/>
              </w:numPr>
              <w:pBdr>
                <w:top w:val="none" w:color="auto" w:sz="0" w:space="0"/>
                <w:left w:val="none" w:color="auto" w:sz="0" w:space="0"/>
                <w:bottom w:val="none" w:color="auto" w:sz="0" w:space="0"/>
                <w:right w:val="none" w:color="auto" w:sz="0" w:space="0"/>
              </w:pBdr>
              <w:rPr>
                <w:rFonts w:hint="eastAsia"/>
                <w:lang w:eastAsia="zh-CN" w:bidi="hi-IN"/>
              </w:rPr>
            </w:pPr>
            <w:r>
              <w:rPr>
                <w:lang w:eastAsia="zh-CN" w:bidi="hi-IN"/>
              </w:rPr>
              <w:t>MODELO DE GESTÃO DO CONTRATO</w:t>
            </w:r>
          </w:p>
        </w:tc>
      </w:tr>
    </w:tbl>
    <w:p w14:paraId="4D771A7B">
      <w:pPr>
        <w:pStyle w:val="29"/>
        <w:numPr>
          <w:ilvl w:val="1"/>
          <w:numId w:val="2"/>
        </w:numPr>
        <w:ind w:left="0" w:right="-427" w:firstLine="0"/>
        <w:rPr>
          <w:rFonts w:ascii="Arial Narrow" w:hAnsi="Arial Narrow" w:cs="Arial"/>
        </w:rPr>
      </w:pPr>
      <w:r>
        <w:t>O contrato deverá ser executado fielmente pelas partes, de acordo com as cláusulas avençadas e as normas da Lei nº 14.133, de 2021, e cada parte responderá pelas consequências de sua inexecução total ou parcial.</w:t>
      </w:r>
    </w:p>
    <w:p w14:paraId="20B907E4">
      <w:pPr>
        <w:pStyle w:val="29"/>
        <w:numPr>
          <w:ilvl w:val="1"/>
          <w:numId w:val="2"/>
        </w:numPr>
        <w:ind w:left="0" w:right="-427" w:firstLine="0"/>
      </w:pPr>
      <w:r>
        <w:t>Em caso de impedimento, ordem de paralisação ou suspensão do contrato, o cronograma de execução será prorrogado automaticamente pelo tempo correspondente, anotadas tais circunstâncias mediante simples apostila.</w:t>
      </w:r>
    </w:p>
    <w:p w14:paraId="739E64B9">
      <w:pPr>
        <w:pStyle w:val="29"/>
        <w:numPr>
          <w:ilvl w:val="1"/>
          <w:numId w:val="2"/>
        </w:numPr>
        <w:ind w:left="0" w:right="-427" w:firstLine="0"/>
      </w:pPr>
      <w:r>
        <w:t>As comunicações entre o órgão ou entidade e a contratada devem ser realizadas por escrito sempre que o ato exigir tal formalidade, admitindo-se o uso de mensagem eletrônica para esse fim.</w:t>
      </w:r>
    </w:p>
    <w:p w14:paraId="473B8002">
      <w:pPr>
        <w:pStyle w:val="29"/>
        <w:numPr>
          <w:ilvl w:val="1"/>
          <w:numId w:val="2"/>
        </w:numPr>
        <w:ind w:left="0" w:right="-427" w:firstLine="0"/>
      </w:pPr>
      <w:r>
        <w:t>O órgão ou entidade poderá convocar representante da empresa para adoção de providências que devam ser cumpridas de imediato.</w:t>
      </w:r>
    </w:p>
    <w:p w14:paraId="0C626EF0">
      <w:pPr>
        <w:pStyle w:val="29"/>
        <w:numPr>
          <w:ilvl w:val="1"/>
          <w:numId w:val="2"/>
        </w:numPr>
        <w:ind w:left="0" w:right="-427" w:firstLine="0"/>
      </w:pPr>
      <w:r>
        <w:t xml:space="preserve"> Após a assinatura do contrato ou instrumento equivalente</w:t>
      </w:r>
      <w:r>
        <w:rPr>
          <w:strike/>
        </w:rPr>
        <w:t>,</w:t>
      </w:r>
      <w: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0180E7">
      <w:pPr>
        <w:pStyle w:val="29"/>
        <w:numPr>
          <w:ilvl w:val="0"/>
          <w:numId w:val="0"/>
        </w:numPr>
      </w:pPr>
      <w:r>
        <w:t>Fiscal do contrato</w:t>
      </w:r>
    </w:p>
    <w:p w14:paraId="2F32000A">
      <w:pPr>
        <w:pStyle w:val="29"/>
        <w:numPr>
          <w:ilvl w:val="1"/>
          <w:numId w:val="2"/>
        </w:numPr>
        <w:ind w:left="0" w:right="-427" w:firstLine="0"/>
      </w:pPr>
      <w:r>
        <w:t>A execução do contrato deverá ser acompanhada e fiscalizada pelo(s) fiscal(is) do contrato, ou pelos respectivos substitutos (</w:t>
      </w:r>
      <w:r>
        <w:fldChar w:fldCharType="begin"/>
      </w:r>
      <w:r>
        <w:instrText xml:space="preserve"> HYPERLINK "http://www.planalto.gov.br/ccivil_03/_ato2019-2022/2021/lei/L14133.htm" \l "art117" </w:instrText>
      </w:r>
      <w:r>
        <w:fldChar w:fldCharType="separate"/>
      </w:r>
      <w:r>
        <w:rPr>
          <w:rStyle w:val="8"/>
        </w:rPr>
        <w:t>Lei nº 14.133, de 2021, art. 117, caput</w:t>
      </w:r>
      <w:r>
        <w:rPr>
          <w:rStyle w:val="8"/>
        </w:rPr>
        <w:fldChar w:fldCharType="end"/>
      </w:r>
      <w:r>
        <w:t>).</w:t>
      </w:r>
    </w:p>
    <w:p w14:paraId="094F9F2F">
      <w:pPr>
        <w:pStyle w:val="29"/>
        <w:numPr>
          <w:ilvl w:val="1"/>
          <w:numId w:val="2"/>
        </w:numPr>
        <w:ind w:left="0" w:right="-427" w:firstLine="0"/>
      </w:pPr>
      <w:r>
        <w:t>O fiscal do contrato acompanhará a execução do contrato, para que sejam cumpridas todas as condições estabelecidas no contrato, de modo a assegurar os melhores resultados para a Administração.</w:t>
      </w:r>
    </w:p>
    <w:p w14:paraId="49D58408">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O fiscal do contrato anotará no histórico de gerenciamento do contrato todas as ocorrências relacionadas à execução do contrato, com a descrição do que for necessário para a regularização das faltas ou dos defeitos observados. (</w:t>
      </w:r>
      <w:r>
        <w:fldChar w:fldCharType="begin"/>
      </w:r>
      <w:r>
        <w:instrText xml:space="preserve"> HYPERLINK "http://www.planalto.gov.br/ccivil_03/_ato2019-2022/2021/lei/L14133.htm" \l "art117§1" </w:instrText>
      </w:r>
      <w:r>
        <w:fldChar w:fldCharType="separate"/>
      </w:r>
      <w:r>
        <w:rPr>
          <w:rStyle w:val="8"/>
          <w:rFonts w:ascii="Arial Narrow" w:hAnsi="Arial Narrow"/>
          <w:sz w:val="24"/>
          <w:szCs w:val="24"/>
        </w:rPr>
        <w:t>Lei nº 14.133, de 2021, art. 117, §1º</w:t>
      </w:r>
      <w:r>
        <w:rPr>
          <w:rStyle w:val="8"/>
          <w:rFonts w:ascii="Arial Narrow" w:hAnsi="Arial Narrow"/>
          <w:sz w:val="24"/>
          <w:szCs w:val="24"/>
        </w:rPr>
        <w:fldChar w:fldCharType="end"/>
      </w:r>
      <w:r>
        <w:rPr>
          <w:rFonts w:ascii="Arial Narrow" w:hAnsi="Arial Narrow"/>
          <w:sz w:val="24"/>
          <w:szCs w:val="24"/>
        </w:rPr>
        <w:t>.</w:t>
      </w:r>
    </w:p>
    <w:p w14:paraId="2510B0EC">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Identificada qualquer inexatidão ou irregularidade, o fiscal técnico do contrato emitirá notificações para a correção da execução do contrato, determinando prazo para a correção.</w:t>
      </w:r>
    </w:p>
    <w:p w14:paraId="66191CD3">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O fiscal do contrato informará ao gestor do contato, em tempo hábil, a situação que demandar decisão ou adoção de medidas que ultrapassem sua competência, para que adote as medidas necessárias e saneadoras, se for o caso.</w:t>
      </w:r>
    </w:p>
    <w:p w14:paraId="00301F5D">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No caso de ocorrências que possam inviabilizar a execução do contrato nas datas aprazadas, o fiscal técnico do contrato comunicará o fato imediatamente ao gestor do contrato.</w:t>
      </w:r>
    </w:p>
    <w:p w14:paraId="60C5C670">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O fiscal do contrato comunicará ao gestor do contrato, em tempo hábil, o término do contrato sob sua responsabilidade, com vistas à renovação tempestiva ou à prorrogação contratual</w:t>
      </w:r>
    </w:p>
    <w:p w14:paraId="3216F726">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p>
    <w:p w14:paraId="5C65320D">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347C801">
      <w:pPr>
        <w:pStyle w:val="47"/>
      </w:pPr>
      <w:r>
        <w:t>Gestor do Contrato</w:t>
      </w:r>
    </w:p>
    <w:p w14:paraId="492D9C92">
      <w:pPr>
        <w:pStyle w:val="29"/>
        <w:numPr>
          <w:ilvl w:val="1"/>
          <w:numId w:val="2"/>
        </w:numPr>
        <w:ind w:left="0" w:right="-427" w:firstLine="0"/>
      </w:pPr>
      <w: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A3A6B55">
      <w:pPr>
        <w:pStyle w:val="29"/>
        <w:numPr>
          <w:ilvl w:val="1"/>
          <w:numId w:val="2"/>
        </w:numPr>
        <w:ind w:left="0" w:right="-427" w:firstLine="0"/>
      </w:pPr>
      <w: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3560136">
      <w:pPr>
        <w:pStyle w:val="29"/>
        <w:numPr>
          <w:ilvl w:val="1"/>
          <w:numId w:val="2"/>
        </w:numPr>
        <w:ind w:left="0" w:right="-427" w:firstLine="0"/>
      </w:pPr>
      <w: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171EF2B">
      <w:pPr>
        <w:pStyle w:val="29"/>
        <w:numPr>
          <w:ilvl w:val="1"/>
          <w:numId w:val="2"/>
        </w:numPr>
        <w:ind w:left="0" w:right="-427" w:firstLine="0"/>
      </w:pPr>
      <w: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B9F2EB2">
      <w:pPr>
        <w:pStyle w:val="29"/>
        <w:numPr>
          <w:ilvl w:val="1"/>
          <w:numId w:val="2"/>
        </w:numPr>
        <w:ind w:left="0" w:right="-427" w:firstLine="0"/>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7652A6F">
      <w:pPr>
        <w:pStyle w:val="29"/>
        <w:numPr>
          <w:ilvl w:val="1"/>
          <w:numId w:val="2"/>
        </w:numPr>
        <w:ind w:left="0" w:right="-427" w:firstLine="0"/>
      </w:pPr>
      <w: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4F1D81D6">
      <w:pPr>
        <w:pStyle w:val="29"/>
        <w:numPr>
          <w:ilvl w:val="1"/>
          <w:numId w:val="2"/>
        </w:numPr>
        <w:ind w:left="0" w:right="-427" w:firstLine="0"/>
      </w:pPr>
      <w:r>
        <w:t>O gestor do contrato deverá enviar a documentação pertinente ao setor de contratos para a formalização dos procedimentos de liquidação e pagamento, no valor dimensionado pela fiscalização e gestão nos termos do contrato.</w:t>
      </w:r>
    </w:p>
    <w:tbl>
      <w:tblPr>
        <w:tblStyle w:val="5"/>
        <w:tblW w:w="10065" w:type="dxa"/>
        <w:tblInd w:w="70" w:type="dxa"/>
        <w:tblLayout w:type="fixed"/>
        <w:tblCellMar>
          <w:top w:w="0" w:type="dxa"/>
          <w:left w:w="70" w:type="dxa"/>
          <w:bottom w:w="0" w:type="dxa"/>
          <w:right w:w="70" w:type="dxa"/>
        </w:tblCellMar>
      </w:tblPr>
      <w:tblGrid>
        <w:gridCol w:w="10065"/>
      </w:tblGrid>
      <w:tr w14:paraId="4793D17D">
        <w:tblPrEx>
          <w:tblCellMar>
            <w:top w:w="0" w:type="dxa"/>
            <w:left w:w="70" w:type="dxa"/>
            <w:bottom w:w="0" w:type="dxa"/>
            <w:right w:w="70" w:type="dxa"/>
          </w:tblCellMar>
        </w:tblPrEx>
        <w:trPr>
          <w:trHeight w:val="307" w:hRule="atLeast"/>
        </w:trPr>
        <w:tc>
          <w:tcPr>
            <w:tcW w:w="10065"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C16F12A">
            <w:pPr>
              <w:pStyle w:val="26"/>
              <w:numPr>
                <w:ilvl w:val="0"/>
                <w:numId w:val="2"/>
              </w:numPr>
              <w:pBdr>
                <w:top w:val="none" w:color="auto" w:sz="0" w:space="0"/>
                <w:left w:val="none" w:color="auto" w:sz="0" w:space="0"/>
                <w:bottom w:val="none" w:color="auto" w:sz="0" w:space="0"/>
                <w:right w:val="none" w:color="auto" w:sz="0" w:space="0"/>
              </w:pBdr>
              <w:rPr>
                <w:rFonts w:hint="eastAsia"/>
                <w:lang w:eastAsia="zh-CN" w:bidi="hi-IN"/>
              </w:rPr>
            </w:pPr>
            <w:r>
              <w:rPr>
                <w:lang w:eastAsia="zh-CN" w:bidi="hi-IN"/>
              </w:rPr>
              <w:t>CRITÉRIOS DE MEDIÇÃO E DE PAGAMENTO</w:t>
            </w:r>
          </w:p>
        </w:tc>
      </w:tr>
    </w:tbl>
    <w:p w14:paraId="6788247C">
      <w:pPr>
        <w:pStyle w:val="47"/>
        <w:rPr>
          <w:lang w:eastAsia="pt-BR" w:bidi="ar-SA"/>
        </w:rPr>
      </w:pPr>
    </w:p>
    <w:p w14:paraId="545E89DF">
      <w:pPr>
        <w:pStyle w:val="47"/>
      </w:pPr>
      <w:r>
        <w:t>Recebimento</w:t>
      </w:r>
    </w:p>
    <w:p w14:paraId="3896CEA9">
      <w:pPr>
        <w:pStyle w:val="29"/>
        <w:numPr>
          <w:ilvl w:val="1"/>
          <w:numId w:val="2"/>
        </w:numPr>
        <w:ind w:left="0" w:right="-427" w:firstLine="0"/>
      </w:pPr>
      <w:r>
        <w:t xml:space="preserve">Os bens serão recebidos provisoriamente, no ato da entrega, juntamente com a </w:t>
      </w:r>
      <w:r>
        <w:rPr>
          <w:rFonts w:eastAsia="Calibri"/>
        </w:rPr>
        <w:t>nota</w:t>
      </w:r>
      <w: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rPr>
        <w:t xml:space="preserve"> </w:t>
      </w:r>
      <w:r>
        <w:t>e na proposta.</w:t>
      </w:r>
    </w:p>
    <w:p w14:paraId="6206A9E5">
      <w:pPr>
        <w:pStyle w:val="29"/>
        <w:numPr>
          <w:ilvl w:val="1"/>
          <w:numId w:val="2"/>
        </w:numPr>
        <w:ind w:left="0" w:right="-427" w:firstLine="0"/>
      </w:pPr>
      <w:r>
        <w:t>Os bens poderão ser rejeitados, no todo ou em parte, inclusive antes do recebimento provisório, quando em desacordo com as especificações constantes no Termo de Referência</w:t>
      </w:r>
      <w:r>
        <w:rPr>
          <w:color w:val="FF0000"/>
        </w:rPr>
        <w:t xml:space="preserve"> </w:t>
      </w:r>
      <w:r>
        <w:t xml:space="preserve">e na proposta, devendo ser substituídos no prazo de </w:t>
      </w:r>
      <w:r>
        <w:rPr>
          <w:b/>
          <w:bCs/>
        </w:rPr>
        <w:t>05 (cinco) dias úteis</w:t>
      </w:r>
      <w:r>
        <w:t>, a contar da notificação da contratada, às suas custas, sem prejuízo da aplicação das penalidades.</w:t>
      </w:r>
    </w:p>
    <w:p w14:paraId="22BE58FF">
      <w:pPr>
        <w:pStyle w:val="29"/>
        <w:numPr>
          <w:ilvl w:val="1"/>
          <w:numId w:val="2"/>
        </w:numPr>
        <w:ind w:left="0" w:right="-427" w:firstLine="0"/>
      </w:pPr>
      <w:r>
        <w:t xml:space="preserve">O recebimento definitivo ocorrerá no prazo de </w:t>
      </w:r>
      <w:r>
        <w:rPr>
          <w:b/>
          <w:bCs/>
          <w:color w:val="auto"/>
        </w:rPr>
        <w:t>30 (trinta) dias úteis</w:t>
      </w:r>
      <w:r>
        <w:rPr>
          <w:color w:val="auto"/>
        </w:rPr>
        <w:t xml:space="preserve">, </w:t>
      </w:r>
      <w:r>
        <w:t>a contar do recebimento da nota fiscal ou instrumento de cobrança equivalente pela Administração, após a verificação da qualidade e quantidade do material e consequente aceitação mediante termo detalhado.</w:t>
      </w:r>
    </w:p>
    <w:p w14:paraId="32F3141C">
      <w:pPr>
        <w:pStyle w:val="29"/>
        <w:numPr>
          <w:ilvl w:val="1"/>
          <w:numId w:val="2"/>
        </w:numPr>
        <w:ind w:left="0" w:right="-427" w:firstLine="0"/>
      </w:pPr>
      <w:r>
        <w:t xml:space="preserve">O prazo para recebimento definitivo poderá ser excepcionalmente prorrogado, </w:t>
      </w:r>
      <w:r>
        <w:rPr>
          <w:color w:val="auto"/>
        </w:rPr>
        <w:t>de forma justificada, por igual período, quando houver necessidade de diligências para a aferição do ate</w:t>
      </w:r>
      <w:r>
        <w:t>ndimento das exigências contratuais.</w:t>
      </w:r>
    </w:p>
    <w:p w14:paraId="067EE1DD">
      <w:pPr>
        <w:pStyle w:val="29"/>
        <w:numPr>
          <w:ilvl w:val="1"/>
          <w:numId w:val="2"/>
        </w:numPr>
        <w:ind w:left="0" w:right="-427" w:firstLine="0"/>
      </w:pPr>
      <w: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w:instrText>
      </w:r>
      <w:r>
        <w:fldChar w:fldCharType="separate"/>
      </w:r>
      <w:r>
        <w:rPr>
          <w:rStyle w:val="8"/>
          <w:lang w:eastAsia="en-US"/>
        </w:rPr>
        <w:t>art. 143 da Lei nº 14.133, de 2021</w:t>
      </w:r>
      <w:r>
        <w:rPr>
          <w:rStyle w:val="8"/>
          <w:lang w:eastAsia="en-US"/>
        </w:rPr>
        <w:fldChar w:fldCharType="end"/>
      </w:r>
      <w:r>
        <w:t>, comunicando-se à empresa para emissão de Nota Fiscal no que pertinente à parcela incontroversa da execução do objeto, para efeito de liquidação e pagamento.</w:t>
      </w:r>
    </w:p>
    <w:p w14:paraId="71326344">
      <w:pPr>
        <w:pStyle w:val="29"/>
        <w:numPr>
          <w:ilvl w:val="1"/>
          <w:numId w:val="2"/>
        </w:numPr>
        <w:ind w:left="0" w:right="-427" w:firstLine="0"/>
      </w:pPr>
      <w: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BDFB1B">
      <w:pPr>
        <w:pStyle w:val="29"/>
        <w:numPr>
          <w:ilvl w:val="1"/>
          <w:numId w:val="2"/>
        </w:numPr>
        <w:ind w:left="0" w:right="-427" w:firstLine="0"/>
      </w:pPr>
      <w:r>
        <w:t>O recebimento provisório ou definitivo não excluirá a responsabilidade civil pela solidez e pela segurança dos bens nem a responsabilidade ético-profissional pela perfeita execução do contrato.</w:t>
      </w:r>
    </w:p>
    <w:p w14:paraId="608F90D5">
      <w:pPr>
        <w:pStyle w:val="47"/>
      </w:pPr>
      <w:r>
        <w:t>Prazo de pagamento</w:t>
      </w:r>
    </w:p>
    <w:p w14:paraId="102DA47C">
      <w:pPr>
        <w:pStyle w:val="29"/>
        <w:numPr>
          <w:ilvl w:val="1"/>
          <w:numId w:val="2"/>
        </w:numPr>
        <w:ind w:left="0" w:right="-427" w:firstLine="0"/>
      </w:pPr>
      <w:r>
        <w:t xml:space="preserve">O pagamento será efetuado no prazo de até </w:t>
      </w:r>
      <w:r>
        <w:rPr>
          <w:b/>
        </w:rPr>
        <w:t>30 (trinta</w:t>
      </w:r>
      <w:r>
        <w:t xml:space="preserve">) dias úteis contados do atesto da Nota Fiscal. </w:t>
      </w:r>
    </w:p>
    <w:p w14:paraId="76D69EB6">
      <w:pPr>
        <w:pStyle w:val="47"/>
      </w:pPr>
      <w:r>
        <w:t>Forma de pagamento</w:t>
      </w:r>
    </w:p>
    <w:p w14:paraId="6DC88387">
      <w:pPr>
        <w:pStyle w:val="29"/>
        <w:numPr>
          <w:ilvl w:val="1"/>
          <w:numId w:val="2"/>
        </w:numPr>
        <w:ind w:left="0" w:right="-427" w:firstLine="0"/>
      </w:pPr>
      <w:r>
        <w:t>O pagamento será realizado por meio de ordem bancária, para crédito em banco, agência e conta corrente indicados pelo contratado.</w:t>
      </w:r>
    </w:p>
    <w:p w14:paraId="006B444A">
      <w:pPr>
        <w:pStyle w:val="29"/>
        <w:numPr>
          <w:ilvl w:val="1"/>
          <w:numId w:val="2"/>
        </w:numPr>
        <w:ind w:left="0" w:right="-427" w:firstLine="0"/>
      </w:pPr>
      <w:r>
        <w:t>Será considerada data do pagamento o dia em que constar como emitida a ordem bancária para pagamento.</w:t>
      </w:r>
    </w:p>
    <w:tbl>
      <w:tblPr>
        <w:tblStyle w:val="5"/>
        <w:tblW w:w="10065" w:type="dxa"/>
        <w:tblInd w:w="70" w:type="dxa"/>
        <w:tblLayout w:type="fixed"/>
        <w:tblCellMar>
          <w:top w:w="0" w:type="dxa"/>
          <w:left w:w="70" w:type="dxa"/>
          <w:bottom w:w="0" w:type="dxa"/>
          <w:right w:w="70" w:type="dxa"/>
        </w:tblCellMar>
      </w:tblPr>
      <w:tblGrid>
        <w:gridCol w:w="10065"/>
      </w:tblGrid>
      <w:tr w14:paraId="2FF589E4">
        <w:tblPrEx>
          <w:tblCellMar>
            <w:top w:w="0" w:type="dxa"/>
            <w:left w:w="70" w:type="dxa"/>
            <w:bottom w:w="0" w:type="dxa"/>
            <w:right w:w="70" w:type="dxa"/>
          </w:tblCellMar>
        </w:tblPrEx>
        <w:trPr>
          <w:trHeight w:val="307" w:hRule="atLeast"/>
        </w:trPr>
        <w:tc>
          <w:tcPr>
            <w:tcW w:w="10065"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578B7EB">
            <w:pPr>
              <w:pStyle w:val="26"/>
              <w:numPr>
                <w:ilvl w:val="0"/>
                <w:numId w:val="2"/>
              </w:numPr>
              <w:pBdr>
                <w:top w:val="none" w:color="auto" w:sz="0" w:space="0"/>
                <w:left w:val="none" w:color="auto" w:sz="0" w:space="0"/>
                <w:bottom w:val="none" w:color="auto" w:sz="0" w:space="0"/>
                <w:right w:val="none" w:color="auto" w:sz="0" w:space="0"/>
              </w:pBdr>
              <w:rPr>
                <w:rFonts w:hint="eastAsia"/>
                <w:lang w:eastAsia="zh-CN" w:bidi="hi-IN"/>
              </w:rPr>
            </w:pPr>
            <w:r>
              <w:rPr>
                <w:lang w:eastAsia="zh-CN" w:bidi="hi-IN"/>
              </w:rPr>
              <w:t>FORMA E CRITÉRIOS DE SELEÇÃO DO FORNECEDOR E FORMA DE FORNECIMENTO</w:t>
            </w:r>
          </w:p>
        </w:tc>
      </w:tr>
    </w:tbl>
    <w:p w14:paraId="7A93E973">
      <w:pPr>
        <w:pStyle w:val="47"/>
        <w:rPr>
          <w:lang w:eastAsia="pt-BR" w:bidi="ar-SA"/>
        </w:rPr>
      </w:pPr>
    </w:p>
    <w:p w14:paraId="34B2F39A">
      <w:pPr>
        <w:pStyle w:val="47"/>
      </w:pPr>
      <w:r>
        <w:t>Forma de seleção e critério de julgamento da proposta</w:t>
      </w:r>
    </w:p>
    <w:p w14:paraId="51847B49">
      <w:pPr>
        <w:pStyle w:val="29"/>
        <w:numPr>
          <w:ilvl w:val="1"/>
          <w:numId w:val="2"/>
        </w:numPr>
        <w:ind w:left="0" w:right="-427" w:firstLine="0"/>
      </w:pPr>
      <w:r>
        <w:t xml:space="preserve">O fornecedor será selecionado por meio da realização de procedimento de </w:t>
      </w:r>
      <w:r>
        <w:rPr>
          <w:b/>
          <w:bCs/>
        </w:rPr>
        <w:t>LICITAÇÃO</w:t>
      </w:r>
      <w:r>
        <w:t xml:space="preserve">, na modalidade </w:t>
      </w:r>
      <w:r>
        <w:rPr>
          <w:b/>
          <w:bCs/>
        </w:rPr>
        <w:t>PREGÃO</w:t>
      </w:r>
      <w:r>
        <w:t xml:space="preserve">, sob a forma </w:t>
      </w:r>
      <w:r>
        <w:rPr>
          <w:b/>
          <w:bCs/>
        </w:rPr>
        <w:t>ELETRÔNICA</w:t>
      </w:r>
      <w:r>
        <w:t xml:space="preserve">, </w:t>
      </w:r>
      <w:r>
        <w:rPr>
          <w:b/>
          <w:bCs/>
        </w:rPr>
        <w:t>VIA SISTEMA DE REGISTRO DE PREÇO</w:t>
      </w:r>
      <w:r>
        <w:t xml:space="preserve">, com adoção do critério de julgamento pelo </w:t>
      </w:r>
      <w:r>
        <w:rPr>
          <w:b/>
          <w:bCs/>
        </w:rPr>
        <w:t>MENOR PREÇO.</w:t>
      </w:r>
      <w:r>
        <w:rPr>
          <w:color w:val="FF0000"/>
        </w:rPr>
        <w:t xml:space="preserve"> </w:t>
      </w:r>
    </w:p>
    <w:p w14:paraId="235528DE">
      <w:pPr>
        <w:pStyle w:val="47"/>
      </w:pPr>
      <w:r>
        <w:t>Forma de fornecimento</w:t>
      </w:r>
    </w:p>
    <w:p w14:paraId="41F961D5">
      <w:pPr>
        <w:pStyle w:val="29"/>
        <w:numPr>
          <w:ilvl w:val="1"/>
          <w:numId w:val="2"/>
        </w:numPr>
        <w:ind w:left="0" w:right="-427" w:firstLine="0"/>
      </w:pPr>
      <w:r>
        <w:rPr>
          <w:rStyle w:val="27"/>
          <w:shd w:val="clear" w:color="auto" w:fill="FFFFFF"/>
        </w:rPr>
        <w:t xml:space="preserve">O </w:t>
      </w:r>
      <w:r>
        <w:rPr>
          <w:rStyle w:val="45"/>
          <w:shd w:val="clear" w:color="auto" w:fill="FFFFFF"/>
        </w:rPr>
        <w:t xml:space="preserve">fornecimento do objeto será </w:t>
      </w:r>
      <w:r>
        <w:t xml:space="preserve">de forma parcelada. </w:t>
      </w:r>
    </w:p>
    <w:p w14:paraId="11C83E89">
      <w:pPr>
        <w:pStyle w:val="47"/>
      </w:pPr>
      <w:r>
        <w:t>Exigências de habilitação</w:t>
      </w:r>
    </w:p>
    <w:p w14:paraId="74187D1E">
      <w:pPr>
        <w:pStyle w:val="29"/>
        <w:numPr>
          <w:ilvl w:val="1"/>
          <w:numId w:val="2"/>
        </w:numPr>
        <w:ind w:left="0" w:right="-427" w:firstLine="0"/>
      </w:pPr>
      <w:r>
        <w:t>Para fins de habilitação, deverá o licitante comprovar os seguintes requisitos:</w:t>
      </w:r>
    </w:p>
    <w:p w14:paraId="5F271F19">
      <w:pPr>
        <w:pStyle w:val="47"/>
      </w:pPr>
      <w:r>
        <w:t>Habilitação jurídica</w:t>
      </w:r>
    </w:p>
    <w:p w14:paraId="6C790F00">
      <w:pPr>
        <w:pStyle w:val="29"/>
        <w:numPr>
          <w:ilvl w:val="1"/>
          <w:numId w:val="2"/>
        </w:numPr>
        <w:ind w:left="0" w:right="-427" w:firstLine="0"/>
      </w:pPr>
      <w:bookmarkStart w:id="0" w:name="_Ref115800561"/>
      <w:r>
        <w:rPr>
          <w:b/>
          <w:bCs/>
        </w:rPr>
        <w:t>Pessoa física:</w:t>
      </w:r>
      <w:r>
        <w:t xml:space="preserve"> cédula de identidade (RG) ou documento equivalente que, por força de lei, tenha validade para fins de identificação em todo o território nacional;</w:t>
      </w:r>
      <w:bookmarkEnd w:id="0"/>
    </w:p>
    <w:p w14:paraId="5A620D72">
      <w:pPr>
        <w:pStyle w:val="29"/>
        <w:numPr>
          <w:ilvl w:val="1"/>
          <w:numId w:val="2"/>
        </w:numPr>
        <w:ind w:left="0" w:right="-427" w:firstLine="0"/>
      </w:pPr>
      <w:r>
        <w:rPr>
          <w:b/>
          <w:bCs/>
        </w:rPr>
        <w:t>Empresário individual:</w:t>
      </w:r>
      <w:r>
        <w:t xml:space="preserve"> inscrição no Registro Público de Empresas Mercantis, a cargo da Junta Comercial da respectiva sede; </w:t>
      </w:r>
    </w:p>
    <w:p w14:paraId="0F83B80A">
      <w:pPr>
        <w:pStyle w:val="29"/>
        <w:numPr>
          <w:ilvl w:val="1"/>
          <w:numId w:val="2"/>
        </w:numPr>
        <w:ind w:left="0" w:right="-427" w:firstLine="0"/>
      </w:pPr>
      <w:r>
        <w:rPr>
          <w:b/>
          <w:bCs/>
        </w:rPr>
        <w:t>Microempreendedor Individual - MEI:</w:t>
      </w:r>
      <w:r>
        <w:t xml:space="preserve"> Certificado da Condição de Microempreendedor Individual - CCMEI, cuja aceitação ficará condicionada à verificação da autenticidade no sítio </w:t>
      </w:r>
      <w:r>
        <w:fldChar w:fldCharType="begin"/>
      </w:r>
      <w:r>
        <w:instrText xml:space="preserve"> HYPERLINK "https://www.gov.br/empresas-e-negocios/pt-br/empreendedor" </w:instrText>
      </w:r>
      <w:r>
        <w:fldChar w:fldCharType="separate"/>
      </w:r>
      <w:r>
        <w:rPr>
          <w:rStyle w:val="8"/>
        </w:rPr>
        <w:t>https://www.gov.br/empresas-e-negocios/pt-br/empreendedor</w:t>
      </w:r>
      <w:r>
        <w:rPr>
          <w:rStyle w:val="8"/>
        </w:rPr>
        <w:fldChar w:fldCharType="end"/>
      </w:r>
      <w:r>
        <w:t xml:space="preserve">; </w:t>
      </w:r>
    </w:p>
    <w:p w14:paraId="415CD3F7">
      <w:pPr>
        <w:pStyle w:val="29"/>
        <w:numPr>
          <w:ilvl w:val="1"/>
          <w:numId w:val="2"/>
        </w:numPr>
        <w:ind w:left="0" w:right="-427" w:firstLine="0"/>
      </w:pP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5EF7029">
      <w:pPr>
        <w:pStyle w:val="29"/>
        <w:numPr>
          <w:ilvl w:val="1"/>
          <w:numId w:val="2"/>
        </w:numPr>
        <w:ind w:left="0" w:right="-427" w:firstLine="0"/>
      </w:pPr>
      <w:r>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w:instrText>
      </w:r>
      <w:r>
        <w:fldChar w:fldCharType="separate"/>
      </w:r>
      <w:r>
        <w:rPr>
          <w:rStyle w:val="8"/>
        </w:rPr>
        <w:t>Normativa DREI/ME n.º 77, de 18 de março de 2020</w:t>
      </w:r>
      <w:r>
        <w:rPr>
          <w:rStyle w:val="8"/>
        </w:rPr>
        <w:fldChar w:fldCharType="end"/>
      </w:r>
      <w:r>
        <w:t>.</w:t>
      </w:r>
    </w:p>
    <w:p w14:paraId="601B5D43">
      <w:pPr>
        <w:pStyle w:val="29"/>
        <w:numPr>
          <w:ilvl w:val="1"/>
          <w:numId w:val="2"/>
        </w:numPr>
        <w:ind w:left="0" w:right="-427" w:firstLine="0"/>
      </w:pPr>
      <w:r>
        <w:rPr>
          <w:b/>
          <w:bCs/>
        </w:rPr>
        <w:t xml:space="preserve">Sociedade simples: </w:t>
      </w:r>
      <w:r>
        <w:t>inscrição do ato constitutivo no Registro Civil de Pessoas Jurídicas do local de sua sede, acompanhada de documento comprobatório de seus administradores;</w:t>
      </w:r>
    </w:p>
    <w:p w14:paraId="3FCC9C88">
      <w:pPr>
        <w:pStyle w:val="29"/>
        <w:numPr>
          <w:ilvl w:val="1"/>
          <w:numId w:val="2"/>
        </w:numPr>
        <w:ind w:left="0" w:right="-427" w:firstLine="0"/>
      </w:pPr>
      <w:r>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1" w:name="_Int_ySfCXwr4"/>
      <w:r>
        <w:t>Mercantis onde</w:t>
      </w:r>
      <w:bookmarkEnd w:id="1"/>
      <w:r>
        <w:t xml:space="preserve"> opera, com averbação no Registro onde tem sede a matriz</w:t>
      </w:r>
    </w:p>
    <w:p w14:paraId="064E6F78">
      <w:pPr>
        <w:pStyle w:val="29"/>
        <w:numPr>
          <w:ilvl w:val="1"/>
          <w:numId w:val="2"/>
        </w:numPr>
        <w:ind w:left="0" w:right="-427" w:firstLine="0"/>
      </w:pPr>
      <w:r>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w:instrText>
      </w:r>
      <w:r>
        <w:fldChar w:fldCharType="separate"/>
      </w:r>
      <w:r>
        <w:rPr>
          <w:rStyle w:val="8"/>
        </w:rPr>
        <w:t>art. 107 da Lei nº 5.764, de 16 de dezembro 1971</w:t>
      </w:r>
      <w:r>
        <w:rPr>
          <w:rStyle w:val="8"/>
        </w:rPr>
        <w:fldChar w:fldCharType="end"/>
      </w:r>
      <w:r>
        <w:t>.</w:t>
      </w:r>
    </w:p>
    <w:p w14:paraId="643C1A56">
      <w:pPr>
        <w:pStyle w:val="29"/>
        <w:numPr>
          <w:ilvl w:val="1"/>
          <w:numId w:val="2"/>
        </w:numPr>
        <w:ind w:left="0" w:right="-427" w:firstLine="0"/>
      </w:pPr>
      <w:r>
        <w:rPr>
          <w:b/>
          <w:bCs/>
        </w:rPr>
        <w:t>Agricultor familiar:</w:t>
      </w:r>
      <w:r>
        <w:t xml:space="preserve">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w:instrText>
      </w:r>
      <w:r>
        <w:fldChar w:fldCharType="separate"/>
      </w:r>
      <w:r>
        <w:rPr>
          <w:rStyle w:val="8"/>
        </w:rPr>
        <w:t xml:space="preserve"> art. 4º, §2º do Decreto nº 10.880, de 2 de dezembro de 2021</w:t>
      </w:r>
      <w:r>
        <w:rPr>
          <w:rStyle w:val="8"/>
        </w:rPr>
        <w:fldChar w:fldCharType="end"/>
      </w:r>
      <w:r>
        <w:t>.</w:t>
      </w:r>
    </w:p>
    <w:p w14:paraId="30E6E959">
      <w:pPr>
        <w:pStyle w:val="29"/>
        <w:numPr>
          <w:ilvl w:val="1"/>
          <w:numId w:val="2"/>
        </w:numPr>
        <w:ind w:left="0" w:right="-427" w:firstLine="0"/>
      </w:pPr>
      <w:r>
        <w:rPr>
          <w:b/>
          <w:bCs/>
        </w:rPr>
        <w:t>Produtor Rural:</w:t>
      </w:r>
      <w:r>
        <w:t xml:space="preserve">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w:instrText>
      </w:r>
      <w:r>
        <w:fldChar w:fldCharType="separate"/>
      </w:r>
      <w:r>
        <w:rPr>
          <w:rStyle w:val="8"/>
        </w:rPr>
        <w:t>Instrução Normativa RFB n. 971, de 13 de novembro de 2009</w:t>
      </w:r>
      <w:r>
        <w:rPr>
          <w:rStyle w:val="8"/>
        </w:rPr>
        <w:fldChar w:fldCharType="end"/>
      </w:r>
      <w:r>
        <w:t xml:space="preserve"> (arts. 17 a 19 e 165).</w:t>
      </w:r>
    </w:p>
    <w:p w14:paraId="65C96C27">
      <w:pPr>
        <w:pStyle w:val="29"/>
        <w:numPr>
          <w:ilvl w:val="1"/>
          <w:numId w:val="2"/>
        </w:numPr>
        <w:ind w:left="0" w:right="-427" w:firstLine="0"/>
      </w:pPr>
      <w:r>
        <w:t>Os documentos apresentados deverão estar acompanhados de todas as alterações ou da consolidação respectiva.</w:t>
      </w:r>
    </w:p>
    <w:p w14:paraId="3EF772F2">
      <w:pPr>
        <w:pStyle w:val="47"/>
      </w:pPr>
      <w:r>
        <w:t>Habilitação fiscal, social e trabalhista</w:t>
      </w:r>
    </w:p>
    <w:p w14:paraId="6F02655B">
      <w:pPr>
        <w:pStyle w:val="29"/>
        <w:numPr>
          <w:ilvl w:val="1"/>
          <w:numId w:val="2"/>
        </w:numPr>
        <w:ind w:left="0" w:right="-427" w:firstLine="0"/>
      </w:pPr>
      <w:r>
        <w:t>Prova de inscrição no Cadastro Nacional de Pessoas Jurídicas ou no Cadastro de Pessoas Físicas, conforme o caso;</w:t>
      </w:r>
    </w:p>
    <w:p w14:paraId="3E64AF4A">
      <w:pPr>
        <w:pStyle w:val="29"/>
        <w:numPr>
          <w:ilvl w:val="1"/>
          <w:numId w:val="2"/>
        </w:numPr>
        <w:ind w:left="0" w:right="-427" w:firstLine="0"/>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2EBAD6B">
      <w:pPr>
        <w:pStyle w:val="29"/>
        <w:numPr>
          <w:ilvl w:val="1"/>
          <w:numId w:val="2"/>
        </w:numPr>
        <w:ind w:left="0" w:right="-427" w:firstLine="0"/>
      </w:pPr>
      <w:r>
        <w:t>Prova de regularidade com o Fundo de Garantia do Tempo de Serviço (FGTS);</w:t>
      </w:r>
    </w:p>
    <w:p w14:paraId="11753FD9">
      <w:pPr>
        <w:pStyle w:val="29"/>
        <w:numPr>
          <w:ilvl w:val="1"/>
          <w:numId w:val="2"/>
        </w:numPr>
        <w:ind w:left="0" w:right="-427" w:firstLine="0"/>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1DA6EED">
      <w:pPr>
        <w:pStyle w:val="29"/>
        <w:numPr>
          <w:ilvl w:val="1"/>
          <w:numId w:val="2"/>
        </w:numPr>
        <w:ind w:left="0" w:right="-427" w:firstLine="0"/>
      </w:pPr>
      <w:r>
        <w:t xml:space="preserve">Prova de inscrição no cadastro de contribuintes Municipal relativo ao domicílio ou sede do fornecedor, pertinente ao seu ramo de atividade e compatível com o objeto contratual; </w:t>
      </w:r>
    </w:p>
    <w:p w14:paraId="144F7E54">
      <w:pPr>
        <w:pStyle w:val="29"/>
        <w:numPr>
          <w:ilvl w:val="1"/>
          <w:numId w:val="2"/>
        </w:numPr>
        <w:ind w:left="0" w:right="-427" w:firstLine="0"/>
      </w:pPr>
      <w:r>
        <w:t>Prova de regularidade com a Fazenda Municipal do domicílio ou sede do fornecedor, relativa à atividade em cujo exercício contrata ou concorre;</w:t>
      </w:r>
    </w:p>
    <w:p w14:paraId="161E353F">
      <w:pPr>
        <w:pStyle w:val="29"/>
        <w:numPr>
          <w:ilvl w:val="1"/>
          <w:numId w:val="2"/>
        </w:numPr>
        <w:ind w:left="0" w:right="-427" w:firstLine="0"/>
      </w:pPr>
      <w:r>
        <w:t>Caso o fornecedor seja considerado isento dos tributos Municipal relacionados ao objeto contratual, deverá comprovar tal condição mediante a apresentação de declaração da Fazenda respectiva do seu domicílio ou sede, ou outra equivalente, na forma da lei.</w:t>
      </w:r>
    </w:p>
    <w:p w14:paraId="28388564">
      <w:pPr>
        <w:pStyle w:val="29"/>
        <w:numPr>
          <w:ilvl w:val="1"/>
          <w:numId w:val="2"/>
        </w:numPr>
        <w:ind w:left="0" w:right="-427" w:firstLine="0"/>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3DA39D1">
      <w:pPr>
        <w:pStyle w:val="47"/>
      </w:pPr>
      <w:r>
        <w:t>Qualificação Econômico-Financeira</w:t>
      </w:r>
    </w:p>
    <w:p w14:paraId="65CAEE3D">
      <w:pPr>
        <w:pStyle w:val="29"/>
        <w:numPr>
          <w:ilvl w:val="1"/>
          <w:numId w:val="2"/>
        </w:numPr>
        <w:ind w:left="0" w:right="-427" w:firstLine="0"/>
      </w:pPr>
      <w:r>
        <w:t xml:space="preserve">Certidão negativa de falência expedida pelo distribuidor da sede do fornecedor - </w:t>
      </w:r>
      <w:r>
        <w:fldChar w:fldCharType="begin"/>
      </w:r>
      <w:r>
        <w:instrText xml:space="preserve"> HYPERLINK "http://www.planalto.gov.br/ccivil_03/_ato2019-2022/2021/lei/L14133.htm" \l "art69" </w:instrText>
      </w:r>
      <w:r>
        <w:fldChar w:fldCharType="separate"/>
      </w:r>
      <w:r>
        <w:rPr>
          <w:rStyle w:val="8"/>
        </w:rPr>
        <w:t>Lei nº 14.133, de 2021, art. 69, caput, inciso II</w:t>
      </w:r>
      <w:r>
        <w:rPr>
          <w:rStyle w:val="8"/>
        </w:rPr>
        <w:fldChar w:fldCharType="end"/>
      </w:r>
      <w:r>
        <w:t>);</w:t>
      </w:r>
    </w:p>
    <w:p w14:paraId="3F154DF9">
      <w:pPr>
        <w:pStyle w:val="29"/>
        <w:numPr>
          <w:ilvl w:val="1"/>
          <w:numId w:val="2"/>
        </w:numPr>
        <w:ind w:left="0" w:right="-427" w:firstLine="0"/>
      </w:pPr>
      <w:r>
        <w:t>Balanço patrimonial, demonstração de resultado de exercício e demais demonstrações contábeis dos 2 (dois) últimos exercícios sociais, comprovando;</w:t>
      </w:r>
    </w:p>
    <w:p w14:paraId="2579DEE3">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índices de Liquidez Geral (LG), Liquidez Corrente (LC), e Solvência Geral (SG) superiores a 1 (um);</w:t>
      </w:r>
    </w:p>
    <w:p w14:paraId="3037DFCF">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As empresas criadas no exercício financeiro da licitação deverão atender a todas as exigências da habilitação e poderão substituir os demonstrativos contábeis pelo balanço de abertura.</w:t>
      </w:r>
    </w:p>
    <w:p w14:paraId="7AED2A03">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Os documentos referidos acima limitar-se-ão ao último exercício no caso de a pessoa jurídica ter sido constituída há menos de 2 (dois) anos;</w:t>
      </w:r>
    </w:p>
    <w:p w14:paraId="7DA6F7A0">
      <w:pPr>
        <w:pStyle w:val="37"/>
        <w:numPr>
          <w:ilvl w:val="2"/>
          <w:numId w:val="2"/>
        </w:numPr>
        <w:tabs>
          <w:tab w:val="left" w:pos="993"/>
          <w:tab w:val="clear" w:pos="426"/>
        </w:tabs>
        <w:ind w:left="284" w:firstLine="0"/>
        <w:rPr>
          <w:rFonts w:ascii="Arial Narrow" w:hAnsi="Arial Narrow"/>
          <w:sz w:val="24"/>
          <w:szCs w:val="24"/>
        </w:rPr>
      </w:pPr>
      <w:r>
        <w:rPr>
          <w:rFonts w:ascii="Arial Narrow" w:hAnsi="Arial Narrow"/>
          <w:sz w:val="24"/>
          <w:szCs w:val="24"/>
        </w:rPr>
        <w:t>Os documentos referidos acima deverão ser exigidos com base no limite definido pela Receita Federal do Brasil para transmissão da Escrituração Contábil Digital - ECD ao Sped.</w:t>
      </w:r>
    </w:p>
    <w:p w14:paraId="7A69E724">
      <w:pPr>
        <w:pStyle w:val="29"/>
        <w:numPr>
          <w:ilvl w:val="1"/>
          <w:numId w:val="2"/>
        </w:numPr>
        <w:ind w:left="0" w:right="-427" w:firstLine="0"/>
        <w:rPr>
          <w:rFonts w:ascii="Arial Narrow" w:hAnsi="Arial Narrow"/>
        </w:rPr>
      </w:pPr>
      <w:r>
        <w:t xml:space="preserve">Caso a empresa licitante apresente resultado inferior ou igual a 1 (um) em qualquer dos índices de Liquidez Geral (LG), Solvência Geral (SG) e Liquidez Corrente (LC), será exigido para fins de habilitação </w:t>
      </w:r>
      <w:r>
        <w:rPr>
          <w:b/>
          <w:bCs/>
        </w:rPr>
        <w:t>capital mínimo de 10% do valor total estimado da contratação.</w:t>
      </w:r>
    </w:p>
    <w:p w14:paraId="5CB4F28A">
      <w:pPr>
        <w:pStyle w:val="29"/>
        <w:numPr>
          <w:ilvl w:val="1"/>
          <w:numId w:val="2"/>
        </w:numPr>
        <w:ind w:left="0" w:right="-427" w:firstLine="0"/>
      </w:pPr>
      <w:r>
        <w:t>As empresas criadas no exercício financeiro da licitação deverão atender a todas as exigências da habilitação e poderão substituir os demonstrativos contábeis pelo balanço de abertura. (Lei nº 14.133, de 2021, art. 65, §1º).</w:t>
      </w:r>
    </w:p>
    <w:p w14:paraId="3EAEB2F7">
      <w:pPr>
        <w:pStyle w:val="35"/>
        <w:numPr>
          <w:ilvl w:val="1"/>
          <w:numId w:val="2"/>
        </w:numPr>
        <w:ind w:left="0" w:right="-427" w:firstLine="0"/>
        <w:rPr>
          <w:i w:val="0"/>
          <w:iCs w:val="0"/>
          <w:color w:val="000000"/>
        </w:rPr>
      </w:pPr>
      <w:r>
        <w:rPr>
          <w:i w:val="0"/>
          <w:iCs w:val="0"/>
          <w:color w:val="000000"/>
        </w:rPr>
        <w:t>O atendimento dos índices econômicos previstos neste item deverá ser atestado mediante declaração assinada por profissional habilitado da área contábil, apresentada pelo fornecedor.</w:t>
      </w:r>
    </w:p>
    <w:p w14:paraId="710B900F">
      <w:pPr>
        <w:pStyle w:val="47"/>
        <w:rPr>
          <w:color w:val="000000" w:themeColor="text1"/>
        </w:rPr>
      </w:pPr>
      <w:r>
        <w:t>Qualificação Técnica</w:t>
      </w:r>
    </w:p>
    <w:p w14:paraId="795EE957">
      <w:pPr>
        <w:pStyle w:val="35"/>
        <w:numPr>
          <w:ilvl w:val="1"/>
          <w:numId w:val="2"/>
        </w:numPr>
        <w:ind w:left="0" w:right="-427" w:firstLine="0"/>
        <w:rPr>
          <w:i w:val="0"/>
          <w:iCs w:val="0"/>
          <w:color w:val="000000"/>
        </w:rPr>
      </w:pPr>
      <w:r>
        <w:rPr>
          <w:i w:val="0"/>
          <w:iCs w:val="0"/>
          <w:color w:val="00000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3C13A82">
      <w:pPr>
        <w:pStyle w:val="35"/>
        <w:numPr>
          <w:ilvl w:val="1"/>
          <w:numId w:val="2"/>
        </w:numPr>
        <w:ind w:left="0" w:right="-427" w:firstLine="0"/>
        <w:rPr>
          <w:i w:val="0"/>
          <w:iCs w:val="0"/>
          <w:color w:val="auto"/>
        </w:rPr>
      </w:pPr>
      <w:r>
        <w:rPr>
          <w:i w:val="0"/>
          <w:iCs w:val="0"/>
          <w:color w:val="auto"/>
        </w:rPr>
        <w:t>Alvará de Licença Sanitária, expedido pelo órgão competente do Município ou Estado ou Distrito Federal onde for domiciliado o licitante, devidamente válido na forma da legislação específica vigente.</w:t>
      </w:r>
    </w:p>
    <w:p w14:paraId="7202850C">
      <w:pPr>
        <w:pStyle w:val="35"/>
        <w:numPr>
          <w:ilvl w:val="1"/>
          <w:numId w:val="2"/>
        </w:numPr>
        <w:ind w:left="0" w:right="-427" w:firstLine="0"/>
        <w:rPr>
          <w:i w:val="0"/>
          <w:iCs w:val="0"/>
          <w:color w:val="auto"/>
        </w:rPr>
      </w:pPr>
      <w:r>
        <w:rPr>
          <w:i w:val="0"/>
          <w:iCs w:val="0"/>
          <w:color w:val="auto"/>
        </w:rPr>
        <w:t>Autorização de Funcionamento de Empresa e Autorização Especial (para medicamentos sujeitos a controle especial constantes na Portaria MS n.º 344/1998 e suas atualizações) do licitante, expedida pela Agência Nacional de Vigilância Sanitária - ANVISA, devidamente válida na forma da legislação específica vigente. Tal comprovação poderá ser feita ainda por meio de cópia da respectiva publicação no Diário Oficial da União ou respectivos “prints” da página do DOU na internet ou “prints” da página da ANVISA na internet, os quais estarão sujeitos à confirmação pelo setor técnico competente;</w:t>
      </w:r>
    </w:p>
    <w:p w14:paraId="38DD1371">
      <w:pPr>
        <w:pStyle w:val="35"/>
        <w:numPr>
          <w:ilvl w:val="1"/>
          <w:numId w:val="2"/>
        </w:numPr>
        <w:ind w:left="0" w:right="-427" w:firstLine="0"/>
        <w:rPr>
          <w:i w:val="0"/>
          <w:iCs w:val="0"/>
          <w:color w:val="auto"/>
        </w:rPr>
      </w:pPr>
      <w:r>
        <w:rPr>
          <w:i w:val="0"/>
          <w:iCs w:val="0"/>
          <w:color w:val="auto"/>
        </w:rPr>
        <w:t xml:space="preserve">Certificado de Registro do Medicamento, expedido pela Agência Nacional de Vigilância Sanitária - ANVISA, devidamente válido na forma da legislação específica vigente ou cópia da respectiva publicação no Diário Oficial da União ou respectivos “prints” da página da ANVISA na internet, os quais estarão sujeitos à confirmação pelo setor técnico competente. </w:t>
      </w:r>
    </w:p>
    <w:tbl>
      <w:tblPr>
        <w:tblStyle w:val="5"/>
        <w:tblW w:w="10140" w:type="dxa"/>
        <w:tblInd w:w="-5" w:type="dxa"/>
        <w:tblLayout w:type="fixed"/>
        <w:tblCellMar>
          <w:top w:w="0" w:type="dxa"/>
          <w:left w:w="70" w:type="dxa"/>
          <w:bottom w:w="0" w:type="dxa"/>
          <w:right w:w="70" w:type="dxa"/>
        </w:tblCellMar>
      </w:tblPr>
      <w:tblGrid>
        <w:gridCol w:w="10140"/>
      </w:tblGrid>
      <w:tr w14:paraId="0E545F89">
        <w:tblPrEx>
          <w:tblCellMar>
            <w:top w:w="0" w:type="dxa"/>
            <w:left w:w="70" w:type="dxa"/>
            <w:bottom w:w="0" w:type="dxa"/>
            <w:right w:w="70" w:type="dxa"/>
          </w:tblCellMar>
        </w:tblPrEx>
        <w:trPr>
          <w:trHeight w:val="307" w:hRule="atLeast"/>
        </w:trPr>
        <w:tc>
          <w:tcPr>
            <w:tcW w:w="1014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1A5CB8E">
            <w:pPr>
              <w:pStyle w:val="26"/>
              <w:numPr>
                <w:ilvl w:val="0"/>
                <w:numId w:val="2"/>
              </w:numPr>
              <w:pBdr>
                <w:top w:val="none" w:color="auto" w:sz="0" w:space="0"/>
                <w:left w:val="none" w:color="auto" w:sz="0" w:space="0"/>
                <w:bottom w:val="none" w:color="auto" w:sz="0" w:space="0"/>
                <w:right w:val="none" w:color="auto" w:sz="0" w:space="0"/>
              </w:pBdr>
              <w:rPr>
                <w:rFonts w:hint="eastAsia"/>
                <w:lang w:eastAsia="zh-CN" w:bidi="hi-IN"/>
              </w:rPr>
            </w:pPr>
            <w:r>
              <w:rPr>
                <w:lang w:eastAsia="zh-CN" w:bidi="hi-IN"/>
              </w:rPr>
              <w:t>ESTIMATIVAS DO VALOR DA CONTRATAÇÃO</w:t>
            </w:r>
          </w:p>
        </w:tc>
      </w:tr>
    </w:tbl>
    <w:p w14:paraId="19A0C15D">
      <w:pPr>
        <w:pStyle w:val="35"/>
        <w:numPr>
          <w:ilvl w:val="1"/>
          <w:numId w:val="2"/>
        </w:numPr>
        <w:ind w:left="0" w:right="-427" w:firstLine="0"/>
        <w:rPr>
          <w:rFonts w:ascii="Arial" w:hAnsi="Arial" w:cs="Arial"/>
          <w:b/>
          <w:bCs/>
          <w:color w:val="auto"/>
        </w:rPr>
      </w:pPr>
      <w:r>
        <w:rPr>
          <w:color w:val="auto"/>
        </w:rPr>
        <w:t xml:space="preserve">A estimativa do valor da contratação é </w:t>
      </w:r>
      <w:r>
        <w:rPr>
          <w:b/>
          <w:bCs/>
          <w:color w:val="auto"/>
        </w:rPr>
        <w:t>de</w:t>
      </w:r>
      <w:r>
        <w:rPr>
          <w:b/>
          <w:bCs/>
        </w:rPr>
        <w:t xml:space="preserve"> </w:t>
      </w:r>
      <w:r>
        <w:rPr>
          <w:b/>
          <w:bCs/>
          <w:i w:val="0"/>
          <w:iCs w:val="0"/>
          <w:color w:val="auto"/>
        </w:rPr>
        <w:t>R$ 54.452,25 (Cinquenta e Quatro Mil Quatrocentos e Cinquenta e Dois Reais e Vinte e Cinco Centavos).</w:t>
      </w:r>
    </w:p>
    <w:tbl>
      <w:tblPr>
        <w:tblStyle w:val="5"/>
        <w:tblW w:w="10140" w:type="dxa"/>
        <w:tblInd w:w="-5" w:type="dxa"/>
        <w:tblLayout w:type="fixed"/>
        <w:tblCellMar>
          <w:top w:w="0" w:type="dxa"/>
          <w:left w:w="70" w:type="dxa"/>
          <w:bottom w:w="0" w:type="dxa"/>
          <w:right w:w="70" w:type="dxa"/>
        </w:tblCellMar>
      </w:tblPr>
      <w:tblGrid>
        <w:gridCol w:w="10140"/>
      </w:tblGrid>
      <w:tr w14:paraId="57CF445E">
        <w:tblPrEx>
          <w:tblCellMar>
            <w:top w:w="0" w:type="dxa"/>
            <w:left w:w="70" w:type="dxa"/>
            <w:bottom w:w="0" w:type="dxa"/>
            <w:right w:w="70" w:type="dxa"/>
          </w:tblCellMar>
        </w:tblPrEx>
        <w:trPr>
          <w:trHeight w:val="307" w:hRule="atLeast"/>
        </w:trPr>
        <w:tc>
          <w:tcPr>
            <w:tcW w:w="1014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BA7A5CE">
            <w:pPr>
              <w:pStyle w:val="26"/>
              <w:numPr>
                <w:ilvl w:val="0"/>
                <w:numId w:val="2"/>
              </w:numPr>
              <w:pBdr>
                <w:top w:val="none" w:color="auto" w:sz="0" w:space="0"/>
                <w:left w:val="none" w:color="auto" w:sz="0" w:space="0"/>
                <w:bottom w:val="none" w:color="auto" w:sz="0" w:space="0"/>
                <w:right w:val="none" w:color="auto" w:sz="0" w:space="0"/>
              </w:pBdr>
              <w:rPr>
                <w:rFonts w:hint="eastAsia"/>
                <w:lang w:eastAsia="zh-CN" w:bidi="hi-IN"/>
              </w:rPr>
            </w:pPr>
            <w:r>
              <w:rPr>
                <w:lang w:eastAsia="zh-CN" w:bidi="hi-IN"/>
              </w:rPr>
              <w:t>ADEQUAÇÃO ORÇAMENTÁRIA</w:t>
            </w:r>
          </w:p>
        </w:tc>
      </w:tr>
    </w:tbl>
    <w:p w14:paraId="1D7C5F50">
      <w:pPr>
        <w:pStyle w:val="29"/>
        <w:numPr>
          <w:ilvl w:val="0"/>
          <w:numId w:val="0"/>
        </w:numPr>
        <w:spacing w:line="240" w:lineRule="auto"/>
        <w:rPr>
          <w:rFonts w:ascii="Arial Narrow" w:hAnsi="Arial Narrow" w:cs="Arial"/>
        </w:rPr>
      </w:pPr>
      <w:r>
        <w:t>10.1. Conforme, Art. 17 do Decreto Federal Nº 11.462, de 31 de março de 2023, “a indicação da disponibilidade de créditos orçamentários somente será exigida para a formalização do contrato ou de outro instrumento hábil”.</w:t>
      </w:r>
    </w:p>
    <w:p w14:paraId="4CB2833B">
      <w:pPr>
        <w:pStyle w:val="29"/>
        <w:numPr>
          <w:ilvl w:val="0"/>
          <w:numId w:val="0"/>
        </w:numPr>
        <w:rPr>
          <w:sz w:val="2"/>
          <w:szCs w:val="2"/>
        </w:rPr>
      </w:pPr>
    </w:p>
    <w:p w14:paraId="6D4C5322">
      <w:pPr>
        <w:pStyle w:val="29"/>
        <w:numPr>
          <w:ilvl w:val="0"/>
          <w:numId w:val="0"/>
        </w:numPr>
        <w:rPr>
          <w:sz w:val="4"/>
          <w:szCs w:val="4"/>
        </w:rPr>
      </w:pPr>
    </w:p>
    <w:p w14:paraId="426EE1B1">
      <w:pPr>
        <w:pStyle w:val="29"/>
        <w:numPr>
          <w:ilvl w:val="0"/>
          <w:numId w:val="0"/>
        </w:numPr>
      </w:pPr>
      <w:r>
        <w:t xml:space="preserve">Ribeira </w:t>
      </w:r>
      <w:r>
        <w:rPr>
          <w:color w:val="auto"/>
        </w:rPr>
        <w:t>do Pombal, 10 de abril de 2025</w:t>
      </w:r>
      <w:r>
        <w:t xml:space="preserve"> </w:t>
      </w:r>
    </w:p>
    <w:p w14:paraId="346279CC">
      <w:pPr>
        <w:rPr>
          <w:rFonts w:ascii="Arial Narrow" w:hAnsi="Arial Narrow"/>
          <w:spacing w:val="-2"/>
        </w:rPr>
      </w:pPr>
      <w:r>
        <w:drawing>
          <wp:anchor distT="0" distB="0" distL="0" distR="0" simplePos="0" relativeHeight="251659264" behindDoc="0" locked="0" layoutInCell="1" allowOverlap="1">
            <wp:simplePos x="0" y="0"/>
            <wp:positionH relativeFrom="page">
              <wp:posOffset>3081655</wp:posOffset>
            </wp:positionH>
            <wp:positionV relativeFrom="paragraph">
              <wp:posOffset>100965</wp:posOffset>
            </wp:positionV>
            <wp:extent cx="1397000" cy="495935"/>
            <wp:effectExtent l="0" t="0" r="0" b="0"/>
            <wp:wrapNone/>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397000" cy="495935"/>
                    </a:xfrm>
                    <a:prstGeom prst="rect">
                      <a:avLst/>
                    </a:prstGeom>
                    <a:noFill/>
                  </pic:spPr>
                </pic:pic>
              </a:graphicData>
            </a:graphic>
          </wp:anchor>
        </w:drawing>
      </w:r>
    </w:p>
    <w:p w14:paraId="4AB3A191">
      <w:pPr>
        <w:ind w:left="582" w:right="715"/>
        <w:jc w:val="center"/>
        <w:rPr>
          <w:rFonts w:ascii="Arial Narrow" w:hAnsi="Arial Narrow"/>
          <w:spacing w:val="-2"/>
        </w:rPr>
      </w:pPr>
    </w:p>
    <w:p w14:paraId="677CBA9E">
      <w:pPr>
        <w:ind w:left="582" w:right="715"/>
        <w:jc w:val="center"/>
        <w:rPr>
          <w:rFonts w:ascii="Arial Narrow" w:hAnsi="Arial Narrow"/>
          <w:spacing w:val="-2"/>
        </w:rPr>
      </w:pPr>
    </w:p>
    <w:p w14:paraId="00C38C04">
      <w:pPr>
        <w:ind w:left="582" w:right="715"/>
        <w:jc w:val="center"/>
        <w:rPr>
          <w:rFonts w:ascii="Arial Narrow" w:hAnsi="Arial Narrow"/>
          <w:b/>
          <w:bCs/>
          <w:spacing w:val="-4"/>
        </w:rPr>
      </w:pPr>
      <w:r>
        <w:rPr>
          <w:rFonts w:ascii="Arial Narrow" w:hAnsi="Arial Narrow"/>
          <w:b/>
          <w:bCs/>
        </w:rPr>
        <w:t>MARIANA</w:t>
      </w:r>
      <w:r>
        <w:rPr>
          <w:rFonts w:ascii="Arial Narrow" w:hAnsi="Arial Narrow"/>
          <w:b/>
          <w:bCs/>
          <w:spacing w:val="-5"/>
        </w:rPr>
        <w:t xml:space="preserve"> </w:t>
      </w:r>
      <w:r>
        <w:rPr>
          <w:rFonts w:ascii="Arial Narrow" w:hAnsi="Arial Narrow"/>
          <w:b/>
          <w:bCs/>
        </w:rPr>
        <w:t>DA</w:t>
      </w:r>
      <w:r>
        <w:rPr>
          <w:rFonts w:ascii="Arial Narrow" w:hAnsi="Arial Narrow"/>
          <w:b/>
          <w:bCs/>
          <w:spacing w:val="-5"/>
        </w:rPr>
        <w:t xml:space="preserve"> </w:t>
      </w:r>
      <w:r>
        <w:rPr>
          <w:rFonts w:ascii="Arial Narrow" w:hAnsi="Arial Narrow"/>
          <w:b/>
          <w:bCs/>
        </w:rPr>
        <w:t>SILVA</w:t>
      </w:r>
      <w:r>
        <w:rPr>
          <w:rFonts w:ascii="Arial Narrow" w:hAnsi="Arial Narrow"/>
          <w:b/>
          <w:bCs/>
          <w:spacing w:val="-4"/>
        </w:rPr>
        <w:t xml:space="preserve"> COSTA</w:t>
      </w:r>
    </w:p>
    <w:p w14:paraId="2F5141B3">
      <w:pPr>
        <w:ind w:left="582" w:right="715"/>
        <w:jc w:val="center"/>
        <w:rPr>
          <w:rFonts w:ascii="Times New Roman" w:hAnsi="Times New Roman" w:cs="Times New Roman"/>
          <w:sz w:val="24"/>
          <w:szCs w:val="24"/>
        </w:rPr>
      </w:pPr>
      <w:r>
        <w:rPr>
          <w:rFonts w:ascii="Arial Narrow" w:hAnsi="Arial Narrow"/>
          <w:b/>
          <w:bCs/>
          <w:spacing w:val="-2"/>
        </w:rPr>
        <w:t>Farmacêutica</w:t>
      </w:r>
    </w:p>
    <w:sectPr>
      <w:headerReference r:id="rId5" w:type="default"/>
      <w:pgSz w:w="11906" w:h="16838"/>
      <w:pgMar w:top="2127" w:right="851" w:bottom="568" w:left="993" w:header="426" w:footer="0" w:gutter="0"/>
      <w:cols w:space="720" w:num="1"/>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黑体">
    <w:altName w:val="SimSun"/>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Ecofont_Spranq_eco_Sans">
    <w:altName w:val="Calibri"/>
    <w:panose1 w:val="00000000000000000000"/>
    <w:charset w:val="00"/>
    <w:family w:val="swiss"/>
    <w:pitch w:val="default"/>
    <w:sig w:usb0="00000000" w:usb1="00000000" w:usb2="00000000" w:usb3="00000000" w:csb0="00000001" w:csb1="00000000"/>
  </w:font>
  <w:font w:name="Liberation Sans">
    <w:altName w:val="Arial"/>
    <w:panose1 w:val="00000000000000000000"/>
    <w:charset w:val="00"/>
    <w:family w:val="roman"/>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Liberation Serif">
    <w:altName w:val="Times New Roman"/>
    <w:panose1 w:val="00000000000000000000"/>
    <w:charset w:val="01"/>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Arial Narrow">
    <w:altName w:val="Arial"/>
    <w:panose1 w:val="020B0606020202030204"/>
    <w:charset w:val="00"/>
    <w:family w:val="swiss"/>
    <w:pitch w:val="default"/>
    <w:sig w:usb0="00000000" w:usb1="00000000" w:usb2="00000000" w:usb3="00000000" w:csb0="0000009F" w:csb1="00000000"/>
  </w:font>
  <w:font w:name="RobotoLightRegular">
    <w:altName w:val="Segoe Print"/>
    <w:panose1 w:val="00000000000000000000"/>
    <w:charset w:val="00"/>
    <w:family w:val="roman"/>
    <w:pitch w:val="default"/>
    <w:sig w:usb0="00000000" w:usb1="00000000" w:usb2="00000000" w:usb3="00000000" w:csb0="00000000" w:csb1="00000000"/>
  </w:font>
  <w:font w:name="黑体">
    <w:altName w:val="SimSun"/>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AF01F">
    <w:pPr>
      <w:spacing w:line="276" w:lineRule="auto"/>
      <w:rPr>
        <w:rFonts w:ascii="Arial" w:hAnsi="Arial"/>
        <w:b/>
      </w:rPr>
    </w:pPr>
    <w:r>
      <w:drawing>
        <wp:anchor distT="0" distB="0" distL="0" distR="0" simplePos="0" relativeHeight="251660288" behindDoc="1" locked="0" layoutInCell="1" allowOverlap="1">
          <wp:simplePos x="0" y="0"/>
          <wp:positionH relativeFrom="column">
            <wp:posOffset>-324485</wp:posOffset>
          </wp:positionH>
          <wp:positionV relativeFrom="paragraph">
            <wp:posOffset>-117475</wp:posOffset>
          </wp:positionV>
          <wp:extent cx="2245360" cy="600710"/>
          <wp:effectExtent l="0" t="0" r="2540" b="889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45360" cy="600710"/>
                  </a:xfrm>
                  <a:prstGeom prst="rect">
                    <a:avLst/>
                  </a:prstGeom>
                  <a:noFill/>
                </pic:spPr>
              </pic:pic>
            </a:graphicData>
          </a:graphic>
        </wp:anchor>
      </w:drawing>
    </w:r>
  </w:p>
  <w:p w14:paraId="686B0AEF">
    <w:pPr>
      <w:spacing w:line="276" w:lineRule="auto"/>
      <w:rPr>
        <w:rFonts w:ascii="Arial" w:hAnsi="Arial"/>
        <w:b/>
      </w:rPr>
    </w:pPr>
  </w:p>
  <w:p w14:paraId="476154AD">
    <w:pPr>
      <w:spacing w:line="276" w:lineRule="auto"/>
      <w:rPr>
        <w:rFonts w:ascii="Arial" w:hAnsi="Arial"/>
        <w:b/>
      </w:rPr>
    </w:pPr>
    <w:r>
      <w:rPr>
        <w:rFonts w:ascii="Arial" w:hAnsi="Arial"/>
        <w:b/>
      </w:rPr>
      <w:t>CONSÓRCIO PÚBLICO INTERFEDERATIVO DE SAÚDE NORDESTE II</w:t>
    </w:r>
  </w:p>
  <w:p w14:paraId="5A65506D">
    <w:pPr>
      <w:spacing w:line="276" w:lineRule="auto"/>
      <w:rPr>
        <w:rFonts w:ascii="Arial" w:hAnsi="Arial"/>
        <w:bCs/>
      </w:rPr>
    </w:pPr>
    <w:r>
      <w:rPr>
        <w:color w:val="000000" w:themeColor="text1"/>
      </w:rPr>
      <w:drawing>
        <wp:anchor distT="0" distB="0" distL="114300" distR="114300" simplePos="0" relativeHeight="251661312" behindDoc="1" locked="0" layoutInCell="0" allowOverlap="1">
          <wp:simplePos x="0" y="0"/>
          <wp:positionH relativeFrom="column">
            <wp:posOffset>-258445</wp:posOffset>
          </wp:positionH>
          <wp:positionV relativeFrom="paragraph">
            <wp:posOffset>34925</wp:posOffset>
          </wp:positionV>
          <wp:extent cx="5940425" cy="695960"/>
          <wp:effectExtent l="0" t="0" r="3175" b="8890"/>
          <wp:wrapSquare wrapText="bothSides"/>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940425" cy="695960"/>
                  </a:xfrm>
                  <a:prstGeom prst="rect">
                    <a:avLst/>
                  </a:prstGeom>
                  <a:noFill/>
                  <a:ln>
                    <a:noFill/>
                  </a:ln>
                </pic:spPr>
              </pic:pic>
            </a:graphicData>
          </a:graphic>
        </wp:anchor>
      </w:drawing>
    </w:r>
    <w:r>
      <w:rPr>
        <w:rFonts w:ascii="Arial" w:hAnsi="Arial"/>
        <w:bCs/>
      </w:rPr>
      <w:t>CNPJ: 28.589.145/0001-99</w:t>
    </w:r>
  </w:p>
  <w:p w14:paraId="6113A7FD">
    <w:pPr>
      <w:pStyle w:val="13"/>
    </w:pPr>
  </w:p>
  <w:p w14:paraId="26AD952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093C59"/>
    <w:multiLevelType w:val="multilevel"/>
    <w:tmpl w:val="11093C59"/>
    <w:lvl w:ilvl="0" w:tentative="0">
      <w:start w:val="1"/>
      <w:numFmt w:val="decimal"/>
      <w:pStyle w:val="26"/>
      <w:lvlText w:val="%1."/>
      <w:lvlJc w:val="left"/>
      <w:pPr>
        <w:tabs>
          <w:tab w:val="left" w:pos="0"/>
        </w:tabs>
        <w:ind w:left="360" w:hanging="360"/>
      </w:pPr>
      <w:rPr>
        <w:b/>
      </w:rPr>
    </w:lvl>
    <w:lvl w:ilvl="1" w:tentative="0">
      <w:start w:val="1"/>
      <w:numFmt w:val="decimal"/>
      <w:pStyle w:val="29"/>
      <w:lvlText w:val="%1.%2."/>
      <w:lvlJc w:val="left"/>
      <w:pPr>
        <w:tabs>
          <w:tab w:val="left" w:pos="0"/>
        </w:tabs>
        <w:ind w:left="999" w:hanging="432"/>
      </w:pPr>
      <w:rPr>
        <w:rFonts w:hint="default" w:ascii="Times New Roman" w:hAnsi="Times New Roman" w:cs="Times New Roman"/>
        <w:b w:val="0"/>
        <w:i w:val="0"/>
        <w:strike w:val="0"/>
        <w:dstrike w:val="0"/>
        <w:color w:val="auto"/>
        <w:sz w:val="24"/>
        <w:szCs w:val="24"/>
        <w:u w:val="none"/>
      </w:rPr>
    </w:lvl>
    <w:lvl w:ilvl="2" w:tentative="0">
      <w:start w:val="1"/>
      <w:numFmt w:val="decimal"/>
      <w:pStyle w:val="37"/>
      <w:lvlText w:val="%1.%2.%3."/>
      <w:lvlJc w:val="left"/>
      <w:pPr>
        <w:tabs>
          <w:tab w:val="left" w:pos="0"/>
        </w:tabs>
        <w:ind w:left="1781" w:hanging="504"/>
      </w:pPr>
      <w:rPr>
        <w:rFonts w:hint="default" w:ascii="Times New Roman" w:hAnsi="Times New Roman" w:cs="Times New Roman"/>
        <w:b w:val="0"/>
        <w:i w:val="0"/>
        <w:strike w:val="0"/>
        <w:dstrike w:val="0"/>
        <w:color w:val="auto"/>
        <w:sz w:val="24"/>
        <w:szCs w:val="24"/>
      </w:rPr>
    </w:lvl>
    <w:lvl w:ilvl="3" w:tentative="0">
      <w:start w:val="1"/>
      <w:numFmt w:val="decimal"/>
      <w:lvlText w:val="%1.%2.%3.%4."/>
      <w:lvlJc w:val="left"/>
      <w:pPr>
        <w:tabs>
          <w:tab w:val="left" w:pos="0"/>
        </w:tabs>
        <w:ind w:left="2491"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1">
    <w:nsid w:val="485F24AB"/>
    <w:multiLevelType w:val="multilevel"/>
    <w:tmpl w:val="485F24AB"/>
    <w:lvl w:ilvl="0" w:tentative="0">
      <w:start w:val="1"/>
      <w:numFmt w:val="decimal"/>
      <w:lvlText w:val="%1."/>
      <w:lvlJc w:val="left"/>
      <w:pPr>
        <w:tabs>
          <w:tab w:val="left" w:pos="0"/>
        </w:tabs>
        <w:ind w:left="360" w:hanging="360"/>
      </w:pPr>
      <w:rPr>
        <w:b/>
        <w:color w:val="000000"/>
      </w:rPr>
    </w:lvl>
    <w:lvl w:ilvl="1" w:tentative="0">
      <w:start w:val="1"/>
      <w:numFmt w:val="decimal"/>
      <w:lvlText w:val="%1.%2."/>
      <w:lvlJc w:val="left"/>
      <w:pPr>
        <w:tabs>
          <w:tab w:val="left" w:pos="0"/>
        </w:tabs>
        <w:ind w:left="999" w:hanging="432"/>
      </w:pPr>
      <w:rPr>
        <w:b w:val="0"/>
        <w:i w:val="0"/>
        <w:strike w:val="0"/>
        <w:dstrike w:val="0"/>
        <w:color w:val="auto"/>
        <w:sz w:val="24"/>
        <w:szCs w:val="24"/>
        <w:u w:val="none"/>
      </w:rPr>
    </w:lvl>
    <w:lvl w:ilvl="2" w:tentative="0">
      <w:start w:val="1"/>
      <w:numFmt w:val="decimal"/>
      <w:lvlText w:val="%1.%2.%3."/>
      <w:lvlJc w:val="left"/>
      <w:pPr>
        <w:tabs>
          <w:tab w:val="left" w:pos="-709"/>
        </w:tabs>
        <w:ind w:left="1072" w:hanging="504"/>
      </w:pPr>
      <w:rPr>
        <w:rFonts w:ascii="Arial" w:hAnsi="Arial"/>
        <w:b w:val="0"/>
        <w:i w:val="0"/>
        <w:strike w:val="0"/>
        <w:dstrike w:val="0"/>
        <w:color w:val="auto"/>
        <w:sz w:val="20"/>
        <w:szCs w:val="20"/>
        <w:u w:val="none"/>
      </w:rPr>
    </w:lvl>
    <w:lvl w:ilvl="3" w:tentative="0">
      <w:start w:val="1"/>
      <w:numFmt w:val="decimal"/>
      <w:lvlText w:val="%1.%2.%3.%4."/>
      <w:lvlJc w:val="left"/>
      <w:pPr>
        <w:tabs>
          <w:tab w:val="left" w:pos="0"/>
        </w:tabs>
        <w:ind w:left="2491"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autoHyphenation/>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0B5"/>
    <w:rsid w:val="000A1D76"/>
    <w:rsid w:val="000B7FA3"/>
    <w:rsid w:val="000D23F9"/>
    <w:rsid w:val="001C306A"/>
    <w:rsid w:val="00200D4E"/>
    <w:rsid w:val="002B3188"/>
    <w:rsid w:val="002C30B5"/>
    <w:rsid w:val="002D39E8"/>
    <w:rsid w:val="002D5A25"/>
    <w:rsid w:val="00451A09"/>
    <w:rsid w:val="0059739A"/>
    <w:rsid w:val="005D28CA"/>
    <w:rsid w:val="0068542D"/>
    <w:rsid w:val="006A505A"/>
    <w:rsid w:val="006D4864"/>
    <w:rsid w:val="007D08CA"/>
    <w:rsid w:val="00875859"/>
    <w:rsid w:val="0087605A"/>
    <w:rsid w:val="00883DDF"/>
    <w:rsid w:val="008F7A64"/>
    <w:rsid w:val="009A4469"/>
    <w:rsid w:val="00A01E81"/>
    <w:rsid w:val="00A21065"/>
    <w:rsid w:val="00AF0B5B"/>
    <w:rsid w:val="00C705C6"/>
    <w:rsid w:val="00CB6721"/>
    <w:rsid w:val="00CF3FB8"/>
    <w:rsid w:val="00D26269"/>
    <w:rsid w:val="00DE6A3B"/>
    <w:rsid w:val="00E016D2"/>
    <w:rsid w:val="00E611AB"/>
    <w:rsid w:val="00EA2245"/>
    <w:rsid w:val="00F218B3"/>
    <w:rsid w:val="00F54200"/>
    <w:rsid w:val="40C1577E"/>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uppressAutoHyphens/>
      <w:spacing w:after="160" w:line="259" w:lineRule="auto"/>
    </w:pPr>
    <w:rPr>
      <w:rFonts w:ascii="Calibri" w:hAnsi="Calibri" w:eastAsia="Calibri" w:cs="Calibri"/>
      <w:color w:val="000000"/>
      <w:sz w:val="22"/>
      <w:szCs w:val="22"/>
      <w:lang w:val="pt-BR" w:eastAsia="pt-BR" w:bidi="ar-SA"/>
    </w:rPr>
  </w:style>
  <w:style w:type="paragraph" w:styleId="2">
    <w:name w:val="heading 1"/>
    <w:next w:val="1"/>
    <w:link w:val="19"/>
    <w:unhideWhenUsed/>
    <w:qFormat/>
    <w:uiPriority w:val="9"/>
    <w:pPr>
      <w:keepNext/>
      <w:keepLines/>
      <w:pBdr>
        <w:top w:val="single" w:color="000000" w:sz="8" w:space="0"/>
        <w:left w:val="single" w:color="000000" w:sz="8" w:space="0"/>
        <w:bottom w:val="single" w:color="000000" w:sz="8" w:space="0"/>
        <w:right w:val="single" w:color="000000" w:sz="8" w:space="0"/>
      </w:pBdr>
      <w:suppressAutoHyphens/>
      <w:spacing w:line="259" w:lineRule="auto"/>
      <w:ind w:left="240"/>
      <w:outlineLvl w:val="0"/>
    </w:pPr>
    <w:rPr>
      <w:rFonts w:ascii="Calibri" w:hAnsi="Calibri" w:eastAsia="Calibri" w:cs="Calibri"/>
      <w:b/>
      <w:color w:val="00000A"/>
      <w:sz w:val="22"/>
      <w:szCs w:val="22"/>
      <w:lang w:val="pt-BR" w:eastAsia="pt-BR" w:bidi="ar-SA"/>
    </w:rPr>
  </w:style>
  <w:style w:type="paragraph" w:styleId="3">
    <w:name w:val="heading 2"/>
    <w:next w:val="1"/>
    <w:link w:val="20"/>
    <w:unhideWhenUsed/>
    <w:qFormat/>
    <w:uiPriority w:val="9"/>
    <w:pPr>
      <w:keepNext/>
      <w:keepLines/>
      <w:suppressAutoHyphens/>
      <w:spacing w:line="259" w:lineRule="auto"/>
      <w:ind w:left="142" w:hanging="10"/>
      <w:jc w:val="center"/>
      <w:outlineLvl w:val="1"/>
    </w:pPr>
    <w:rPr>
      <w:rFonts w:ascii="Calibri" w:hAnsi="Calibri" w:eastAsia="Calibri" w:cs="Calibri"/>
      <w:i/>
      <w:color w:val="FF0000"/>
      <w:sz w:val="22"/>
      <w:szCs w:val="22"/>
      <w:lang w:val="pt-BR" w:eastAsia="pt-BR" w:bidi="ar-SA"/>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annotation reference"/>
    <w:basedOn w:val="4"/>
    <w:unhideWhenUsed/>
    <w:qFormat/>
    <w:uiPriority w:val="0"/>
    <w:rPr>
      <w:sz w:val="16"/>
      <w:szCs w:val="16"/>
    </w:rPr>
  </w:style>
  <w:style w:type="character" w:styleId="7">
    <w:name w:val="FollowedHyperlink"/>
    <w:basedOn w:val="4"/>
    <w:semiHidden/>
    <w:unhideWhenUsed/>
    <w:uiPriority w:val="99"/>
    <w:rPr>
      <w:color w:val="954F72" w:themeColor="followedHyperlink"/>
      <w:u w:val="single"/>
    </w:rPr>
  </w:style>
  <w:style w:type="character" w:styleId="8">
    <w:name w:val="Hyperlink"/>
    <w:uiPriority w:val="0"/>
    <w:rPr>
      <w:color w:val="000080"/>
      <w:u w:val="single"/>
    </w:rPr>
  </w:style>
  <w:style w:type="paragraph" w:styleId="9">
    <w:name w:val="List"/>
    <w:basedOn w:val="10"/>
    <w:uiPriority w:val="0"/>
    <w:rPr>
      <w:rFonts w:cs="Arial"/>
    </w:rPr>
  </w:style>
  <w:style w:type="paragraph" w:styleId="10">
    <w:name w:val="Body Text"/>
    <w:basedOn w:val="1"/>
    <w:link w:val="56"/>
    <w:uiPriority w:val="0"/>
    <w:pPr>
      <w:spacing w:after="140" w:line="276" w:lineRule="auto"/>
    </w:pPr>
  </w:style>
  <w:style w:type="paragraph" w:styleId="11">
    <w:name w:val="annotation text"/>
    <w:basedOn w:val="1"/>
    <w:link w:val="24"/>
    <w:unhideWhenUsed/>
    <w:qFormat/>
    <w:uiPriority w:val="99"/>
    <w:pPr>
      <w:spacing w:after="0" w:line="240" w:lineRule="auto"/>
    </w:pPr>
    <w:rPr>
      <w:rFonts w:ascii="Ecofont_Spranq_eco_Sans" w:hAnsi="Ecofont_Spranq_eco_Sans" w:cs="Tahoma" w:eastAsiaTheme="minorEastAsia"/>
      <w:color w:val="auto"/>
      <w:sz w:val="20"/>
      <w:szCs w:val="20"/>
    </w:rPr>
  </w:style>
  <w:style w:type="paragraph" w:styleId="12">
    <w:name w:val="Title"/>
    <w:basedOn w:val="1"/>
    <w:next w:val="10"/>
    <w:link w:val="57"/>
    <w:qFormat/>
    <w:uiPriority w:val="0"/>
    <w:pPr>
      <w:keepNext/>
      <w:spacing w:before="240" w:after="120"/>
    </w:pPr>
    <w:rPr>
      <w:rFonts w:ascii="Liberation Sans" w:hAnsi="Liberation Sans" w:eastAsia="Microsoft YaHei" w:cs="Arial"/>
      <w:sz w:val="28"/>
      <w:szCs w:val="28"/>
    </w:rPr>
  </w:style>
  <w:style w:type="paragraph" w:styleId="13">
    <w:name w:val="header"/>
    <w:basedOn w:val="1"/>
    <w:link w:val="22"/>
    <w:unhideWhenUsed/>
    <w:uiPriority w:val="99"/>
    <w:pPr>
      <w:tabs>
        <w:tab w:val="center" w:pos="4252"/>
        <w:tab w:val="right" w:pos="8504"/>
      </w:tabs>
      <w:spacing w:after="0" w:line="240" w:lineRule="auto"/>
    </w:pPr>
  </w:style>
  <w:style w:type="paragraph" w:styleId="14">
    <w:name w:val="annotation subject"/>
    <w:basedOn w:val="11"/>
    <w:next w:val="11"/>
    <w:link w:val="48"/>
    <w:semiHidden/>
    <w:unhideWhenUsed/>
    <w:qFormat/>
    <w:uiPriority w:val="99"/>
    <w:pPr>
      <w:spacing w:after="160"/>
    </w:pPr>
    <w:rPr>
      <w:rFonts w:ascii="Calibri" w:hAnsi="Calibri" w:eastAsia="Calibri" w:cs="Calibri"/>
      <w:b/>
      <w:bCs/>
      <w:color w:val="000000"/>
    </w:rPr>
  </w:style>
  <w:style w:type="paragraph" w:styleId="15">
    <w:name w:val="footer"/>
    <w:basedOn w:val="1"/>
    <w:link w:val="23"/>
    <w:unhideWhenUsed/>
    <w:uiPriority w:val="99"/>
    <w:pPr>
      <w:tabs>
        <w:tab w:val="center" w:pos="4252"/>
        <w:tab w:val="right" w:pos="8504"/>
      </w:tabs>
      <w:spacing w:after="0" w:line="240" w:lineRule="auto"/>
    </w:pPr>
  </w:style>
  <w:style w:type="paragraph" w:styleId="16">
    <w:name w:val="caption"/>
    <w:basedOn w:val="1"/>
    <w:qFormat/>
    <w:uiPriority w:val="0"/>
    <w:pPr>
      <w:suppressLineNumbers/>
      <w:spacing w:before="120" w:after="120"/>
    </w:pPr>
    <w:rPr>
      <w:rFonts w:cs="Arial"/>
      <w:i/>
      <w:iCs/>
      <w:sz w:val="24"/>
      <w:szCs w:val="24"/>
    </w:rPr>
  </w:style>
  <w:style w:type="paragraph" w:styleId="17">
    <w:name w:val="Balloon Text"/>
    <w:basedOn w:val="1"/>
    <w:link w:val="21"/>
    <w:semiHidden/>
    <w:unhideWhenUsed/>
    <w:qFormat/>
    <w:uiPriority w:val="99"/>
    <w:pPr>
      <w:spacing w:after="0" w:line="240" w:lineRule="auto"/>
    </w:pPr>
    <w:rPr>
      <w:rFonts w:ascii="Tahoma" w:hAnsi="Tahoma" w:cs="Tahoma"/>
      <w:sz w:val="16"/>
      <w:szCs w:val="16"/>
    </w:rPr>
  </w:style>
  <w:style w:type="table" w:styleId="18">
    <w:name w:val="Table Grid"/>
    <w:basedOn w:val="5"/>
    <w:uiPriority w:val="39"/>
    <w:rPr>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Título 1 Char"/>
    <w:link w:val="2"/>
    <w:qFormat/>
    <w:uiPriority w:val="9"/>
    <w:rPr>
      <w:rFonts w:ascii="Calibri" w:hAnsi="Calibri" w:eastAsia="Calibri" w:cs="Calibri"/>
      <w:b/>
      <w:color w:val="00000A"/>
      <w:sz w:val="22"/>
    </w:rPr>
  </w:style>
  <w:style w:type="character" w:customStyle="1" w:styleId="20">
    <w:name w:val="Título 2 Char"/>
    <w:link w:val="3"/>
    <w:qFormat/>
    <w:uiPriority w:val="9"/>
    <w:rPr>
      <w:rFonts w:ascii="Calibri" w:hAnsi="Calibri" w:eastAsia="Calibri" w:cs="Calibri"/>
      <w:i/>
      <w:color w:val="FF0000"/>
      <w:sz w:val="22"/>
    </w:rPr>
  </w:style>
  <w:style w:type="character" w:customStyle="1" w:styleId="21">
    <w:name w:val="Texto de balão Char"/>
    <w:basedOn w:val="4"/>
    <w:link w:val="17"/>
    <w:semiHidden/>
    <w:qFormat/>
    <w:uiPriority w:val="99"/>
    <w:rPr>
      <w:rFonts w:ascii="Tahoma" w:hAnsi="Tahoma" w:eastAsia="Calibri" w:cs="Tahoma"/>
      <w:color w:val="000000"/>
      <w:sz w:val="16"/>
      <w:szCs w:val="16"/>
    </w:rPr>
  </w:style>
  <w:style w:type="character" w:customStyle="1" w:styleId="22">
    <w:name w:val="Cabeçalho Char"/>
    <w:basedOn w:val="4"/>
    <w:link w:val="13"/>
    <w:qFormat/>
    <w:uiPriority w:val="99"/>
    <w:rPr>
      <w:rFonts w:ascii="Calibri" w:hAnsi="Calibri" w:eastAsia="Calibri" w:cs="Calibri"/>
      <w:color w:val="000000"/>
    </w:rPr>
  </w:style>
  <w:style w:type="character" w:customStyle="1" w:styleId="23">
    <w:name w:val="Rodapé Char"/>
    <w:basedOn w:val="4"/>
    <w:link w:val="15"/>
    <w:qFormat/>
    <w:uiPriority w:val="99"/>
    <w:rPr>
      <w:rFonts w:ascii="Calibri" w:hAnsi="Calibri" w:eastAsia="Calibri" w:cs="Calibri"/>
      <w:color w:val="000000"/>
    </w:rPr>
  </w:style>
  <w:style w:type="character" w:customStyle="1" w:styleId="24">
    <w:name w:val="Texto de comentário Char"/>
    <w:basedOn w:val="4"/>
    <w:link w:val="11"/>
    <w:qFormat/>
    <w:uiPriority w:val="99"/>
    <w:rPr>
      <w:rFonts w:ascii="Ecofont_Spranq_eco_Sans" w:hAnsi="Ecofont_Spranq_eco_Sans" w:cs="Tahoma"/>
      <w:sz w:val="20"/>
      <w:szCs w:val="20"/>
    </w:rPr>
  </w:style>
  <w:style w:type="character" w:customStyle="1" w:styleId="25">
    <w:name w:val="Nivel 01 Char"/>
    <w:basedOn w:val="4"/>
    <w:link w:val="26"/>
    <w:qFormat/>
    <w:uiPriority w:val="0"/>
    <w:rPr>
      <w:rFonts w:ascii="Arial" w:hAnsi="Arial" w:cs="Arial" w:eastAsiaTheme="majorEastAsia"/>
      <w:b/>
      <w:bCs/>
      <w:sz w:val="20"/>
      <w:szCs w:val="20"/>
    </w:rPr>
  </w:style>
  <w:style w:type="paragraph" w:customStyle="1" w:styleId="26">
    <w:name w:val="Nivel 01"/>
    <w:basedOn w:val="2"/>
    <w:next w:val="1"/>
    <w:link w:val="25"/>
    <w:autoRedefine/>
    <w:qFormat/>
    <w:uiPriority w:val="0"/>
    <w:pPr>
      <w:numPr>
        <w:ilvl w:val="0"/>
        <w:numId w:val="1"/>
      </w:numPr>
      <w:pBdr>
        <w:top w:val="none" w:color="auto" w:sz="0" w:space="0"/>
        <w:left w:val="none" w:color="auto" w:sz="0" w:space="0"/>
        <w:bottom w:val="none" w:color="auto" w:sz="0" w:space="0"/>
        <w:right w:val="none" w:color="auto" w:sz="0" w:space="0"/>
      </w:pBdr>
      <w:tabs>
        <w:tab w:val="left" w:pos="356"/>
      </w:tabs>
      <w:spacing w:line="240" w:lineRule="auto"/>
      <w:ind w:left="0" w:firstLine="0"/>
      <w:jc w:val="both"/>
    </w:pPr>
    <w:rPr>
      <w:rFonts w:ascii="Arial" w:hAnsi="Arial" w:cs="Arial" w:eastAsiaTheme="majorEastAsia"/>
      <w:bCs/>
      <w:color w:val="auto"/>
      <w:sz w:val="20"/>
      <w:szCs w:val="20"/>
    </w:rPr>
  </w:style>
  <w:style w:type="character" w:customStyle="1" w:styleId="27">
    <w:name w:val="normaltextrun"/>
    <w:basedOn w:val="4"/>
    <w:qFormat/>
    <w:uiPriority w:val="0"/>
  </w:style>
  <w:style w:type="character" w:customStyle="1" w:styleId="28">
    <w:name w:val="Nivel 2 Char"/>
    <w:basedOn w:val="4"/>
    <w:link w:val="29"/>
    <w:qFormat/>
    <w:locked/>
    <w:uiPriority w:val="0"/>
    <w:rPr>
      <w:rFonts w:ascii="Times New Roman" w:hAnsi="Times New Roman" w:eastAsia="Arial" w:cs="Times New Roman"/>
      <w:color w:val="000000"/>
      <w:sz w:val="24"/>
      <w:szCs w:val="24"/>
    </w:rPr>
  </w:style>
  <w:style w:type="paragraph" w:customStyle="1" w:styleId="29">
    <w:name w:val="Nivel 2"/>
    <w:basedOn w:val="1"/>
    <w:link w:val="28"/>
    <w:autoRedefine/>
    <w:qFormat/>
    <w:uiPriority w:val="0"/>
    <w:pPr>
      <w:numPr>
        <w:ilvl w:val="1"/>
        <w:numId w:val="1"/>
      </w:numPr>
      <w:tabs>
        <w:tab w:val="left" w:pos="567"/>
      </w:tabs>
      <w:spacing w:before="120" w:after="120" w:line="276" w:lineRule="auto"/>
      <w:ind w:left="0" w:firstLine="0"/>
      <w:jc w:val="both"/>
    </w:pPr>
    <w:rPr>
      <w:rFonts w:ascii="Times New Roman" w:hAnsi="Times New Roman" w:eastAsia="Arial" w:cs="Times New Roman"/>
      <w:sz w:val="24"/>
      <w:szCs w:val="24"/>
    </w:rPr>
  </w:style>
  <w:style w:type="character" w:customStyle="1" w:styleId="30">
    <w:name w:val="Parágrafo da Lista Char"/>
    <w:basedOn w:val="4"/>
    <w:link w:val="31"/>
    <w:qFormat/>
    <w:uiPriority w:val="34"/>
    <w:rPr>
      <w:rFonts w:ascii="Ecofont_Spranq_eco_Sans" w:hAnsi="Ecofont_Spranq_eco_Sans" w:cs="Tahoma"/>
      <w:sz w:val="24"/>
      <w:szCs w:val="24"/>
    </w:rPr>
  </w:style>
  <w:style w:type="paragraph" w:styleId="31">
    <w:name w:val="List Paragraph"/>
    <w:basedOn w:val="1"/>
    <w:link w:val="30"/>
    <w:qFormat/>
    <w:uiPriority w:val="34"/>
    <w:pPr>
      <w:spacing w:after="0" w:line="240" w:lineRule="auto"/>
      <w:ind w:left="720"/>
      <w:contextualSpacing/>
    </w:pPr>
    <w:rPr>
      <w:rFonts w:ascii="Ecofont_Spranq_eco_Sans" w:hAnsi="Ecofont_Spranq_eco_Sans" w:cs="Tahoma" w:eastAsiaTheme="minorEastAsia"/>
      <w:color w:val="auto"/>
      <w:sz w:val="24"/>
      <w:szCs w:val="24"/>
    </w:rPr>
  </w:style>
  <w:style w:type="character" w:customStyle="1" w:styleId="32">
    <w:name w:val="ou Char"/>
    <w:basedOn w:val="30"/>
    <w:link w:val="33"/>
    <w:qFormat/>
    <w:uiPriority w:val="0"/>
    <w:rPr>
      <w:rFonts w:ascii="Arial" w:hAnsi="Arial" w:cs="Arial" w:eastAsiaTheme="minorHAnsi"/>
      <w:b/>
      <w:bCs/>
      <w:i/>
      <w:iCs/>
      <w:color w:val="FF0000"/>
      <w:sz w:val="20"/>
      <w:szCs w:val="24"/>
      <w:u w:val="single"/>
    </w:rPr>
  </w:style>
  <w:style w:type="paragraph" w:customStyle="1" w:styleId="33">
    <w:name w:val="ou"/>
    <w:basedOn w:val="31"/>
    <w:link w:val="32"/>
    <w:qFormat/>
    <w:uiPriority w:val="0"/>
    <w:pPr>
      <w:spacing w:before="60" w:after="60" w:line="259" w:lineRule="auto"/>
      <w:ind w:left="0"/>
      <w:contextualSpacing w:val="0"/>
      <w:jc w:val="center"/>
    </w:pPr>
    <w:rPr>
      <w:rFonts w:ascii="Arial" w:hAnsi="Arial" w:cs="Arial" w:eastAsiaTheme="minorHAnsi"/>
      <w:b/>
      <w:bCs/>
      <w:i/>
      <w:iCs/>
      <w:color w:val="FF0000"/>
      <w:sz w:val="20"/>
      <w:u w:val="single"/>
    </w:rPr>
  </w:style>
  <w:style w:type="character" w:customStyle="1" w:styleId="34">
    <w:name w:val="Nível 2 -Red Char"/>
    <w:basedOn w:val="28"/>
    <w:link w:val="35"/>
    <w:qFormat/>
    <w:uiPriority w:val="0"/>
    <w:rPr>
      <w:rFonts w:ascii="Arial" w:hAnsi="Arial" w:eastAsia="Arial" w:cs="Arial"/>
      <w:i/>
      <w:iCs/>
      <w:color w:val="FF0000"/>
      <w:sz w:val="20"/>
      <w:szCs w:val="20"/>
    </w:rPr>
  </w:style>
  <w:style w:type="paragraph" w:customStyle="1" w:styleId="35">
    <w:name w:val="Nível 2 -Red"/>
    <w:basedOn w:val="29"/>
    <w:link w:val="34"/>
    <w:qFormat/>
    <w:uiPriority w:val="0"/>
    <w:rPr>
      <w:i/>
      <w:iCs/>
      <w:color w:val="FF0000"/>
    </w:rPr>
  </w:style>
  <w:style w:type="character" w:customStyle="1" w:styleId="36">
    <w:name w:val="Nivel 3 Char"/>
    <w:basedOn w:val="4"/>
    <w:link w:val="37"/>
    <w:qFormat/>
    <w:uiPriority w:val="0"/>
    <w:rPr>
      <w:rFonts w:ascii="Arial" w:hAnsi="Arial" w:cs="Arial"/>
      <w:color w:val="000000"/>
      <w:sz w:val="20"/>
      <w:szCs w:val="20"/>
    </w:rPr>
  </w:style>
  <w:style w:type="paragraph" w:customStyle="1" w:styleId="37">
    <w:name w:val="Nivel 3"/>
    <w:basedOn w:val="1"/>
    <w:link w:val="36"/>
    <w:autoRedefine/>
    <w:qFormat/>
    <w:uiPriority w:val="0"/>
    <w:pPr>
      <w:numPr>
        <w:ilvl w:val="2"/>
        <w:numId w:val="1"/>
      </w:numPr>
      <w:tabs>
        <w:tab w:val="left" w:pos="426"/>
      </w:tabs>
      <w:spacing w:before="120" w:after="120" w:line="276" w:lineRule="auto"/>
      <w:ind w:left="0" w:firstLine="0"/>
      <w:jc w:val="both"/>
    </w:pPr>
    <w:rPr>
      <w:rFonts w:ascii="Arial" w:hAnsi="Arial" w:cs="Arial" w:eastAsiaTheme="minorEastAsia"/>
      <w:sz w:val="20"/>
      <w:szCs w:val="20"/>
    </w:rPr>
  </w:style>
  <w:style w:type="character" w:customStyle="1" w:styleId="38">
    <w:name w:val="Nível 3-R Char"/>
    <w:basedOn w:val="36"/>
    <w:link w:val="39"/>
    <w:qFormat/>
    <w:uiPriority w:val="0"/>
    <w:rPr>
      <w:rFonts w:ascii="Arial" w:hAnsi="Arial" w:cs="Arial"/>
      <w:i/>
      <w:iCs/>
      <w:color w:val="FF0000"/>
      <w:sz w:val="20"/>
      <w:szCs w:val="20"/>
    </w:rPr>
  </w:style>
  <w:style w:type="paragraph" w:customStyle="1" w:styleId="39">
    <w:name w:val="Nível 3-R"/>
    <w:basedOn w:val="37"/>
    <w:link w:val="38"/>
    <w:autoRedefine/>
    <w:qFormat/>
    <w:uiPriority w:val="0"/>
    <w:rPr>
      <w:i/>
      <w:iCs/>
      <w:color w:val="FF0000"/>
    </w:rPr>
  </w:style>
  <w:style w:type="character" w:customStyle="1" w:styleId="40">
    <w:name w:val="Nível 4-R Char"/>
    <w:basedOn w:val="4"/>
    <w:link w:val="41"/>
    <w:qFormat/>
    <w:uiPriority w:val="0"/>
    <w:rPr>
      <w:rFonts w:ascii="Arial" w:hAnsi="Arial" w:cs="Arial"/>
      <w:i/>
      <w:iCs/>
      <w:color w:val="FF0000"/>
      <w:sz w:val="20"/>
      <w:szCs w:val="20"/>
    </w:rPr>
  </w:style>
  <w:style w:type="paragraph" w:customStyle="1" w:styleId="41">
    <w:name w:val="Nível 4-R"/>
    <w:basedOn w:val="42"/>
    <w:link w:val="40"/>
    <w:autoRedefine/>
    <w:qFormat/>
    <w:uiPriority w:val="0"/>
    <w:pPr>
      <w:tabs>
        <w:tab w:val="left" w:pos="0"/>
        <w:tab w:val="left" w:pos="426"/>
      </w:tabs>
    </w:pPr>
    <w:rPr>
      <w:i/>
      <w:iCs/>
      <w:color w:val="FF0000"/>
    </w:rPr>
  </w:style>
  <w:style w:type="paragraph" w:customStyle="1" w:styleId="42">
    <w:name w:val="Nivel 4"/>
    <w:basedOn w:val="37"/>
    <w:link w:val="58"/>
    <w:autoRedefine/>
    <w:qFormat/>
    <w:uiPriority w:val="0"/>
    <w:pPr>
      <w:ind w:left="567"/>
    </w:pPr>
    <w:rPr>
      <w:color w:val="auto"/>
    </w:rPr>
  </w:style>
  <w:style w:type="character" w:customStyle="1" w:styleId="43">
    <w:name w:val="Nível 1-Sem Num Char"/>
    <w:basedOn w:val="25"/>
    <w:link w:val="44"/>
    <w:qFormat/>
    <w:uiPriority w:val="0"/>
    <w:rPr>
      <w:rFonts w:ascii="Arial" w:hAnsi="Arial" w:cs="Arial" w:eastAsiaTheme="majorEastAsia"/>
      <w:sz w:val="20"/>
      <w:szCs w:val="20"/>
    </w:rPr>
  </w:style>
  <w:style w:type="paragraph" w:customStyle="1" w:styleId="44">
    <w:name w:val="Nível 1-Sem Num"/>
    <w:basedOn w:val="26"/>
    <w:link w:val="43"/>
    <w:autoRedefine/>
    <w:qFormat/>
    <w:uiPriority w:val="0"/>
    <w:pPr>
      <w:numPr>
        <w:numId w:val="0"/>
      </w:numPr>
      <w:outlineLvl w:val="1"/>
    </w:pPr>
  </w:style>
  <w:style w:type="character" w:customStyle="1" w:styleId="45">
    <w:name w:val="findhit"/>
    <w:basedOn w:val="4"/>
    <w:qFormat/>
    <w:uiPriority w:val="0"/>
  </w:style>
  <w:style w:type="character" w:customStyle="1" w:styleId="46">
    <w:name w:val="Nível 1-Sem Num Preto Char"/>
    <w:basedOn w:val="43"/>
    <w:link w:val="47"/>
    <w:qFormat/>
    <w:uiPriority w:val="0"/>
    <w:rPr>
      <w:rFonts w:ascii="Arial" w:hAnsi="Arial" w:cs="Arial" w:eastAsiaTheme="majorEastAsia"/>
      <w:sz w:val="20"/>
      <w:szCs w:val="20"/>
      <w:lang w:eastAsia="zh-CN" w:bidi="hi-IN"/>
    </w:rPr>
  </w:style>
  <w:style w:type="paragraph" w:customStyle="1" w:styleId="47">
    <w:name w:val="Nível 1-Sem Num Preto"/>
    <w:basedOn w:val="44"/>
    <w:link w:val="46"/>
    <w:qFormat/>
    <w:uiPriority w:val="0"/>
    <w:rPr>
      <w:lang w:eastAsia="zh-CN" w:bidi="hi-IN"/>
    </w:rPr>
  </w:style>
  <w:style w:type="character" w:customStyle="1" w:styleId="48">
    <w:name w:val="Assunto do comentário Char"/>
    <w:basedOn w:val="24"/>
    <w:link w:val="14"/>
    <w:semiHidden/>
    <w:qFormat/>
    <w:uiPriority w:val="99"/>
    <w:rPr>
      <w:rFonts w:ascii="Calibri" w:hAnsi="Calibri" w:eastAsia="Calibri" w:cs="Calibri"/>
      <w:b/>
      <w:bCs/>
      <w:color w:val="000000"/>
      <w:sz w:val="20"/>
      <w:szCs w:val="20"/>
    </w:rPr>
  </w:style>
  <w:style w:type="paragraph" w:customStyle="1" w:styleId="49">
    <w:name w:val="Índice"/>
    <w:basedOn w:val="1"/>
    <w:qFormat/>
    <w:uiPriority w:val="0"/>
    <w:pPr>
      <w:suppressLineNumbers/>
    </w:pPr>
    <w:rPr>
      <w:rFonts w:cs="Arial"/>
    </w:rPr>
  </w:style>
  <w:style w:type="paragraph" w:customStyle="1" w:styleId="50">
    <w:name w:val="Cabeçalho e Rodapé"/>
    <w:basedOn w:val="1"/>
    <w:qFormat/>
    <w:uiPriority w:val="0"/>
  </w:style>
  <w:style w:type="paragraph" w:customStyle="1" w:styleId="51">
    <w:name w:val="Nivel 5"/>
    <w:basedOn w:val="42"/>
    <w:autoRedefine/>
    <w:qFormat/>
    <w:uiPriority w:val="0"/>
    <w:pPr>
      <w:tabs>
        <w:tab w:val="left" w:pos="360"/>
        <w:tab w:val="left" w:pos="993"/>
      </w:tabs>
      <w:ind w:left="851"/>
    </w:pPr>
  </w:style>
  <w:style w:type="paragraph" w:customStyle="1" w:styleId="52">
    <w:name w:val="Conteúdo da tabela"/>
    <w:basedOn w:val="1"/>
    <w:qFormat/>
    <w:uiPriority w:val="0"/>
    <w:pPr>
      <w:widowControl w:val="0"/>
      <w:suppressLineNumbers/>
    </w:pPr>
  </w:style>
  <w:style w:type="paragraph" w:customStyle="1" w:styleId="53">
    <w:name w:val="Título de tabela"/>
    <w:basedOn w:val="52"/>
    <w:qFormat/>
    <w:uiPriority w:val="0"/>
    <w:pPr>
      <w:jc w:val="center"/>
    </w:pPr>
    <w:rPr>
      <w:b/>
      <w:bCs/>
    </w:rPr>
  </w:style>
  <w:style w:type="table" w:customStyle="1" w:styleId="54">
    <w:name w:val="TableGrid"/>
    <w:qFormat/>
    <w:uiPriority w:val="0"/>
    <w:tblPr>
      <w:tblCellMar>
        <w:top w:w="0" w:type="dxa"/>
        <w:left w:w="0" w:type="dxa"/>
        <w:bottom w:w="0" w:type="dxa"/>
        <w:right w:w="0" w:type="dxa"/>
      </w:tblCellMar>
    </w:tblPr>
  </w:style>
  <w:style w:type="paragraph" w:customStyle="1" w:styleId="55">
    <w:name w:val="Standard"/>
    <w:qFormat/>
    <w:uiPriority w:val="0"/>
    <w:pPr>
      <w:widowControl w:val="0"/>
      <w:suppressAutoHyphens/>
      <w:autoSpaceDN w:val="0"/>
      <w:textAlignment w:val="baseline"/>
    </w:pPr>
    <w:rPr>
      <w:rFonts w:ascii="Liberation Serif" w:hAnsi="Liberation Serif" w:eastAsia="SimSun" w:cs="Mangal"/>
      <w:kern w:val="3"/>
      <w:sz w:val="24"/>
      <w:szCs w:val="24"/>
      <w:lang w:val="pt-BR" w:eastAsia="zh-CN" w:bidi="hi-IN"/>
    </w:rPr>
  </w:style>
  <w:style w:type="character" w:customStyle="1" w:styleId="56">
    <w:name w:val="Corpo de texto Char"/>
    <w:basedOn w:val="4"/>
    <w:link w:val="10"/>
    <w:uiPriority w:val="0"/>
    <w:rPr>
      <w:rFonts w:ascii="Calibri" w:hAnsi="Calibri" w:eastAsia="Calibri" w:cs="Calibri"/>
      <w:color w:val="000000"/>
    </w:rPr>
  </w:style>
  <w:style w:type="character" w:customStyle="1" w:styleId="57">
    <w:name w:val="Título Char"/>
    <w:basedOn w:val="4"/>
    <w:link w:val="12"/>
    <w:uiPriority w:val="0"/>
    <w:rPr>
      <w:rFonts w:ascii="Liberation Sans" w:hAnsi="Liberation Sans" w:eastAsia="Microsoft YaHei" w:cs="Arial"/>
      <w:color w:val="000000"/>
      <w:sz w:val="28"/>
      <w:szCs w:val="28"/>
    </w:rPr>
  </w:style>
  <w:style w:type="character" w:customStyle="1" w:styleId="58">
    <w:name w:val="Nivel 4 Char"/>
    <w:basedOn w:val="4"/>
    <w:link w:val="42"/>
    <w:qFormat/>
    <w:locked/>
    <w:uiPriority w:val="0"/>
    <w:rPr>
      <w:rFonts w:ascii="Arial" w:hAnsi="Arial" w:cs="Arial"/>
      <w:sz w:val="20"/>
      <w:szCs w:val="20"/>
    </w:rPr>
  </w:style>
  <w:style w:type="character" w:customStyle="1" w:styleId="59">
    <w:name w:val="Nível 01-Sem Numeração Char"/>
    <w:basedOn w:val="4"/>
    <w:link w:val="60"/>
    <w:qFormat/>
    <w:locked/>
    <w:uiPriority w:val="1"/>
    <w:rPr>
      <w:rFonts w:ascii="Arial" w:hAnsi="Arial" w:cs="Arial" w:eastAsiaTheme="majorEastAsia"/>
      <w:b/>
      <w:bCs/>
      <w:sz w:val="20"/>
      <w:szCs w:val="20"/>
    </w:rPr>
  </w:style>
  <w:style w:type="paragraph" w:customStyle="1" w:styleId="60">
    <w:name w:val="Nível 01-Sem Numeração"/>
    <w:basedOn w:val="1"/>
    <w:link w:val="59"/>
    <w:autoRedefine/>
    <w:qFormat/>
    <w:uiPriority w:val="1"/>
    <w:pPr>
      <w:keepNext/>
      <w:keepLines/>
      <w:spacing w:after="120" w:line="276" w:lineRule="auto"/>
      <w:jc w:val="both"/>
      <w:outlineLvl w:val="1"/>
    </w:pPr>
    <w:rPr>
      <w:rFonts w:ascii="Arial" w:hAnsi="Arial" w:cs="Arial" w:eastAsiaTheme="majorEastAsia"/>
      <w:b/>
      <w:bCs/>
      <w:color w:val="auto"/>
      <w:sz w:val="20"/>
      <w:szCs w:val="20"/>
    </w:rPr>
  </w:style>
  <w:style w:type="paragraph" w:customStyle="1" w:styleId="61">
    <w:name w:val="Table Paragraph"/>
    <w:basedOn w:val="1"/>
    <w:qFormat/>
    <w:uiPriority w:val="0"/>
    <w:pPr>
      <w:spacing w:line="256" w:lineRule="auto"/>
    </w:pPr>
    <w:rPr>
      <w:rFonts w:ascii="Arial" w:hAnsi="Arial" w:eastAsia="Arial" w:cs="Arial"/>
      <w:lang w:val="pt-PT" w:eastAsia="en-US"/>
    </w:rPr>
  </w:style>
  <w:style w:type="paragraph" w:customStyle="1" w:styleId="62">
    <w:name w:val="corpo"/>
    <w:basedOn w:val="1"/>
    <w:qFormat/>
    <w:uiPriority w:val="0"/>
    <w:pPr>
      <w:spacing w:before="280" w:after="280" w:line="240" w:lineRule="auto"/>
    </w:pPr>
    <w:rPr>
      <w:rFonts w:ascii="Times New Roman" w:hAnsi="Times New Roman" w:eastAsia="Times New Roman" w:cs="Times New Roman"/>
      <w:sz w:val="24"/>
      <w:szCs w:val="24"/>
    </w:rPr>
  </w:style>
  <w:style w:type="paragraph" w:customStyle="1" w:styleId="63">
    <w:name w:val="corponico"/>
    <w:basedOn w:val="1"/>
    <w:qFormat/>
    <w:uiPriority w:val="0"/>
    <w:pPr>
      <w:spacing w:before="280" w:after="280" w:line="240" w:lineRule="auto"/>
    </w:pPr>
    <w:rPr>
      <w:rFonts w:ascii="Times New Roman" w:hAnsi="Times New Roman" w:eastAsia="Times New Roman" w:cs="Times New Roman"/>
      <w:sz w:val="24"/>
      <w:szCs w:val="24"/>
    </w:rPr>
  </w:style>
  <w:style w:type="character" w:customStyle="1" w:styleId="64">
    <w:name w:val="eop"/>
    <w:basedOn w:val="4"/>
    <w:qFormat/>
    <w:uiPriority w:val="0"/>
  </w:style>
  <w:style w:type="character" w:customStyle="1" w:styleId="65">
    <w:name w:val="WW8Num3z0"/>
    <w:qFormat/>
    <w:uiPriority w:val="0"/>
    <w:rPr>
      <w:rFonts w:hint="default" w:ascii="Symbol" w:hAnsi="Symbol" w:cs="Symbol"/>
      <w:b/>
      <w:color w:val="000000"/>
      <w:sz w:val="20"/>
      <w:szCs w:val="20"/>
    </w:rPr>
  </w:style>
  <w:style w:type="character" w:customStyle="1" w:styleId="66">
    <w:name w:val="WW8Num5z0"/>
    <w:qFormat/>
    <w:uiPriority w:val="0"/>
    <w:rPr>
      <w:rFonts w:hint="default" w:ascii="Symbol" w:hAnsi="Symbol" w:cs="Symbol"/>
      <w:sz w:val="22"/>
      <w:szCs w:val="22"/>
    </w:rPr>
  </w:style>
  <w:style w:type="character" w:customStyle="1" w:styleId="67">
    <w:name w:val="Símbolos de numeração"/>
    <w:qFormat/>
    <w:uiPriority w:val="0"/>
  </w:style>
  <w:style w:type="character" w:customStyle="1" w:styleId="68">
    <w:name w:val="Texto de balão Char1"/>
    <w:basedOn w:val="4"/>
    <w:semiHidden/>
    <w:locked/>
    <w:uiPriority w:val="99"/>
    <w:rPr>
      <w:rFonts w:ascii="Tahoma" w:hAnsi="Tahoma" w:eastAsia="Calibri" w:cs="Tahoma"/>
      <w:color w:val="000000"/>
      <w:sz w:val="16"/>
      <w:szCs w:val="16"/>
    </w:rPr>
  </w:style>
  <w:style w:type="character" w:customStyle="1" w:styleId="69">
    <w:name w:val="Cabeçalho Char1"/>
    <w:basedOn w:val="4"/>
    <w:semiHidden/>
    <w:locked/>
    <w:uiPriority w:val="99"/>
    <w:rPr>
      <w:rFonts w:ascii="Calibri" w:hAnsi="Calibri" w:eastAsia="Calibri" w:cs="Calibri"/>
      <w:color w:val="000000"/>
    </w:rPr>
  </w:style>
  <w:style w:type="character" w:customStyle="1" w:styleId="70">
    <w:name w:val="Rodapé Char1"/>
    <w:basedOn w:val="4"/>
    <w:semiHidden/>
    <w:locked/>
    <w:uiPriority w:val="99"/>
    <w:rPr>
      <w:rFonts w:ascii="Calibri" w:hAnsi="Calibri" w:eastAsia="Calibri" w:cs="Calibri"/>
      <w:color w:val="000000"/>
    </w:rPr>
  </w:style>
  <w:style w:type="character" w:customStyle="1" w:styleId="71">
    <w:name w:val="Texto de comentário Char1"/>
    <w:basedOn w:val="4"/>
    <w:semiHidden/>
    <w:locked/>
    <w:uiPriority w:val="99"/>
    <w:rPr>
      <w:rFonts w:ascii="Ecofont_Spranq_eco_Sans" w:hAnsi="Ecofont_Spranq_eco_Sans" w:cs="Tahoma"/>
      <w:sz w:val="20"/>
      <w:szCs w:val="20"/>
    </w:rPr>
  </w:style>
  <w:style w:type="character" w:customStyle="1" w:styleId="72">
    <w:name w:val="Assunto do comentário Char1"/>
    <w:basedOn w:val="71"/>
    <w:semiHidden/>
    <w:locked/>
    <w:uiPriority w:val="99"/>
    <w:rPr>
      <w:rFonts w:ascii="Calibri" w:hAnsi="Calibri" w:eastAsia="Calibri" w:cs="Calibri"/>
      <w:b/>
      <w:bCs/>
      <w:color w:val="000000"/>
      <w:sz w:val="20"/>
      <w:szCs w:val="20"/>
    </w:rPr>
  </w:style>
  <w:style w:type="character" w:customStyle="1" w:styleId="73">
    <w:name w:val="Unresolved Mention"/>
    <w:basedOn w:val="4"/>
    <w:semiHidden/>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majorFont>
      <a:minorFont>
        <a:latin typeface="Calibri"/>
        <a:ea typeface=""/>
        <a:cs typeface=""/>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62F9660E-4F01-4A02-86AA-31C514918965}">
  <ds:schemaRefs/>
</ds:datastoreItem>
</file>

<file path=docProps/app.xml><?xml version="1.0" encoding="utf-8"?>
<Properties xmlns="http://schemas.openxmlformats.org/officeDocument/2006/extended-properties" xmlns:vt="http://schemas.openxmlformats.org/officeDocument/2006/docPropsVTypes">
  <Template>Normal</Template>
  <Pages>11</Pages>
  <Words>4382</Words>
  <Characters>23666</Characters>
  <Lines>197</Lines>
  <Paragraphs>55</Paragraphs>
  <TotalTime>1161</TotalTime>
  <ScaleCrop>false</ScaleCrop>
  <LinksUpToDate>false</LinksUpToDate>
  <CharactersWithSpaces>27993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2023-09-14T21:40:00Z</dcterms:created>
  <dc:creator>UFRPE</dc:creator>
  <cp:lastModifiedBy>darllyson.henrique</cp:lastModifiedBy>
  <cp:lastPrinted>2023-09-17T23:37:00Z</cp:lastPrinted>
  <dcterms:modified xsi:type="dcterms:W3CDTF">2025-04-14T19:18:21Z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1046-12.2.0.20795</vt:lpwstr>
  </property>
  <property fmtid="{D5CDD505-2E9C-101B-9397-08002B2CF9AE}" pid="3" name="ICV">
    <vt:lpwstr>75B8B9DD54F9463797ABAD05BAB03CDB_13</vt:lpwstr>
  </property>
</Properties>
</file>